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F611B">
      <w:pPr>
        <w:rPr>
          <w:rFonts w:hint="default" w:ascii="Times New Roman" w:hAnsi="Times New Roman" w:eastAsia="黑体" w:cs="Times New Roman"/>
          <w:sz w:val="28"/>
          <w:szCs w:val="28"/>
        </w:rPr>
      </w:pPr>
    </w:p>
    <w:p w14:paraId="27B964C2">
      <w:pPr>
        <w:rPr>
          <w:rFonts w:hint="default" w:ascii="Times New Roman" w:hAnsi="Times New Roman" w:eastAsia="黑体" w:cs="Times New Roman"/>
          <w:sz w:val="28"/>
          <w:szCs w:val="28"/>
        </w:rPr>
      </w:pPr>
    </w:p>
    <w:p w14:paraId="1219C8E1">
      <w:pPr>
        <w:rPr>
          <w:rFonts w:hint="default" w:ascii="Times New Roman" w:hAnsi="Times New Roman" w:eastAsia="黑体" w:cs="Times New Roman"/>
          <w:sz w:val="28"/>
          <w:szCs w:val="28"/>
        </w:rPr>
      </w:pPr>
    </w:p>
    <w:p w14:paraId="26A2E663">
      <w:pPr>
        <w:rPr>
          <w:rFonts w:hint="default" w:ascii="Times New Roman" w:hAnsi="Times New Roman" w:cs="Times New Roman"/>
        </w:rPr>
      </w:pPr>
      <w:bookmarkStart w:id="52" w:name="_GoBack"/>
      <w:bookmarkEnd w:id="52"/>
      <w:r>
        <w:rPr>
          <w:rFonts w:hint="default" w:ascii="Times New Roman" w:hAnsi="Times New Roman" w:eastAsia="黑体" w:cs="Times New Roman"/>
          <w:sz w:val="28"/>
          <w:szCs w:val="28"/>
        </w:rPr>
        <w:t>附件3</w:t>
      </w:r>
      <w:r>
        <w:rPr>
          <w:rFonts w:hint="default" w:ascii="Times New Roman" w:hAnsi="Times New Roman" w:cs="Times New Roman"/>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7560310" cy="10692130"/>
            <wp:effectExtent l="0" t="0" r="2540" b="13970"/>
            <wp:wrapNone/>
            <wp:docPr id="1" name="图片 1" descr="背景@3x (1)"/>
            <wp:cNvGraphicFramePr/>
            <a:graphic xmlns:a="http://schemas.openxmlformats.org/drawingml/2006/main">
              <a:graphicData uri="http://schemas.openxmlformats.org/drawingml/2006/picture">
                <pic:pic xmlns:pic="http://schemas.openxmlformats.org/drawingml/2006/picture">
                  <pic:nvPicPr>
                    <pic:cNvPr id="1" name="图片 1" descr="背景@3x (1)"/>
                    <pic:cNvPicPr/>
                  </pic:nvPicPr>
                  <pic:blipFill>
                    <a:blip r:embed="rId10"/>
                    <a:stretch>
                      <a:fillRect/>
                    </a:stretch>
                  </pic:blipFill>
                  <pic:spPr>
                    <a:xfrm>
                      <a:off x="0" y="0"/>
                      <a:ext cx="7560310" cy="10692130"/>
                    </a:xfrm>
                    <a:prstGeom prst="rect">
                      <a:avLst/>
                    </a:prstGeom>
                  </pic:spPr>
                </pic:pic>
              </a:graphicData>
            </a:graphic>
          </wp:anchor>
        </w:drawing>
      </w:r>
    </w:p>
    <w:p w14:paraId="2729D9BD">
      <w:pPr>
        <w:spacing w:before="120" w:beforeLines="50" w:line="570" w:lineRule="exact"/>
        <w:rPr>
          <w:rFonts w:hint="default" w:ascii="Times New Roman" w:hAnsi="Times New Roman" w:eastAsia="黑体" w:cs="Times New Roman"/>
          <w:sz w:val="32"/>
          <w:szCs w:val="32"/>
        </w:rPr>
        <w:sectPr>
          <w:footerReference r:id="rId5" w:type="first"/>
          <w:headerReference r:id="rId3" w:type="default"/>
          <w:footerReference r:id="rId4" w:type="default"/>
          <w:pgSz w:w="11906" w:h="16839"/>
          <w:pgMar w:top="1431" w:right="1785" w:bottom="1512" w:left="1785" w:header="0" w:footer="1201" w:gutter="0"/>
          <w:cols w:space="720" w:num="1"/>
        </w:sectPr>
      </w:pPr>
      <w:r>
        <w:rPr>
          <w:rFonts w:hint="default" w:ascii="Times New Roman" w:hAnsi="Times New Roman" w:eastAsia="黑体"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-687705</wp:posOffset>
                </wp:positionH>
                <wp:positionV relativeFrom="page">
                  <wp:posOffset>3517900</wp:posOffset>
                </wp:positionV>
                <wp:extent cx="3971925" cy="1998980"/>
                <wp:effectExtent l="0" t="0" r="0" b="0"/>
                <wp:wrapNone/>
                <wp:docPr id="2" name="文本框 2"/>
                <wp:cNvGraphicFramePr/>
                <a:graphic xmlns:a="http://schemas.openxmlformats.org/drawingml/2006/main">
                  <a:graphicData uri="http://schemas.microsoft.com/office/word/2010/wordprocessingShape">
                    <wps:wsp>
                      <wps:cNvSpPr txBox="1"/>
                      <wps:spPr>
                        <a:xfrm>
                          <a:off x="595630" y="3535045"/>
                          <a:ext cx="3971925" cy="1998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7C570">
                            <w:pPr>
                              <w:jc w:val="center"/>
                              <w:rPr>
                                <w:rFonts w:hint="eastAsia" w:ascii="方正小标宋简体" w:hAnsi="微软雅黑" w:eastAsia="方正小标宋简体" w:cs="宋体"/>
                                <w:b/>
                                <w:kern w:val="36"/>
                                <w:sz w:val="44"/>
                                <w:szCs w:val="44"/>
                              </w:rPr>
                            </w:pPr>
                            <w:r>
                              <w:rPr>
                                <w:rFonts w:hint="eastAsia" w:ascii="方正小标宋简体" w:hAnsi="微软雅黑" w:eastAsia="方正小标宋简体" w:cs="宋体"/>
                                <w:b/>
                                <w:kern w:val="36"/>
                                <w:sz w:val="44"/>
                                <w:szCs w:val="44"/>
                              </w:rPr>
                              <w:t>哈工大2025年“思政引领力”提升行动项目培育工作</w:t>
                            </w:r>
                          </w:p>
                          <w:p w14:paraId="3400F0AE">
                            <w:pPr>
                              <w:jc w:val="center"/>
                              <w:rPr>
                                <w:rFonts w:eastAsia="方正小标宋简体"/>
                                <w:b/>
                              </w:rPr>
                            </w:pPr>
                            <w:r>
                              <w:rPr>
                                <w:rFonts w:hint="eastAsia" w:ascii="方正小标宋简体" w:hAnsi="微软雅黑" w:eastAsia="方正小标宋简体" w:cs="宋体"/>
                                <w:b/>
                                <w:kern w:val="36"/>
                                <w:sz w:val="44"/>
                                <w:szCs w:val="44"/>
                              </w:rPr>
                              <w:t>申报手册</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4.15pt;margin-top:277pt;height:157.4pt;width:312.75pt;mso-position-vertical-relative:page;z-index:251661312;mso-width-relative:page;mso-height-relative:page;" filled="f" stroked="f" coordsize="21600,21600" o:gfxdata="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0PD+TYAAAADAEAAA8AAAAAAAAA&#10;AQAgAAAAIgAAAGRycy9kb3ducmV2LnhtbFBLAQIUABQAAAAIAIdO4kDxCtsfSgIAAHIEAAAOAAAA&#10;AAAAAAEAIAAAACcBAABkcnMvZTJvRG9jLnhtbFBLBQYAAAAABgAGAFkBAADjBQAAAAA=&#10;">
                <v:fill on="f" focussize="0,0"/>
                <v:stroke on="f" weight="0.5pt"/>
                <v:imagedata o:title=""/>
                <o:lock v:ext="edit" aspectratio="f"/>
                <v:textbox style="mso-fit-shape-to-text:t;">
                  <w:txbxContent>
                    <w:p w14:paraId="67E7C570">
                      <w:pPr>
                        <w:jc w:val="center"/>
                        <w:rPr>
                          <w:rFonts w:hint="eastAsia" w:ascii="方正小标宋简体" w:hAnsi="微软雅黑" w:eastAsia="方正小标宋简体" w:cs="宋体"/>
                          <w:b/>
                          <w:kern w:val="36"/>
                          <w:sz w:val="44"/>
                          <w:szCs w:val="44"/>
                        </w:rPr>
                      </w:pPr>
                      <w:r>
                        <w:rPr>
                          <w:rFonts w:hint="eastAsia" w:ascii="方正小标宋简体" w:hAnsi="微软雅黑" w:eastAsia="方正小标宋简体" w:cs="宋体"/>
                          <w:b/>
                          <w:kern w:val="36"/>
                          <w:sz w:val="44"/>
                          <w:szCs w:val="44"/>
                        </w:rPr>
                        <w:t>哈工大2025年“思政引领力”提升行动项目培育工作</w:t>
                      </w:r>
                    </w:p>
                    <w:p w14:paraId="3400F0AE">
                      <w:pPr>
                        <w:jc w:val="center"/>
                        <w:rPr>
                          <w:rFonts w:eastAsia="方正小标宋简体"/>
                          <w:b/>
                        </w:rPr>
                      </w:pPr>
                      <w:r>
                        <w:rPr>
                          <w:rFonts w:hint="eastAsia" w:ascii="方正小标宋简体" w:hAnsi="微软雅黑" w:eastAsia="方正小标宋简体" w:cs="宋体"/>
                          <w:b/>
                          <w:kern w:val="36"/>
                          <w:sz w:val="44"/>
                          <w:szCs w:val="44"/>
                        </w:rPr>
                        <w:t>申报手册</w:t>
                      </w:r>
                    </w:p>
                  </w:txbxContent>
                </v:textbox>
              </v:shape>
            </w:pict>
          </mc:Fallback>
        </mc:AlternateContent>
      </w:r>
      <w:r>
        <w:rPr>
          <w:rFonts w:hint="default" w:ascii="Times New Roman" w:hAnsi="Times New Roman" w:eastAsia="黑体"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3793490</wp:posOffset>
                </wp:positionH>
                <wp:positionV relativeFrom="page">
                  <wp:posOffset>3930015</wp:posOffset>
                </wp:positionV>
                <wp:extent cx="2131060" cy="447675"/>
                <wp:effectExtent l="0" t="0" r="0" b="0"/>
                <wp:wrapNone/>
                <wp:docPr id="12" name="文本框 12"/>
                <wp:cNvGraphicFramePr/>
                <a:graphic xmlns:a="http://schemas.openxmlformats.org/drawingml/2006/main">
                  <a:graphicData uri="http://schemas.microsoft.com/office/word/2010/wordprocessingShape">
                    <wps:wsp>
                      <wps:cNvSpPr txBox="1"/>
                      <wps:spPr>
                        <a:xfrm>
                          <a:off x="4691380" y="3902075"/>
                          <a:ext cx="213106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8451E">
                            <w:pPr>
                              <w:pStyle w:val="8"/>
                              <w:jc w:val="center"/>
                              <w:rPr>
                                <w:rFonts w:hint="eastAsia"/>
                                <w:b/>
                                <w:bCs/>
                              </w:rPr>
                            </w:pPr>
                            <w:r>
                              <w:rPr>
                                <w:rFonts w:hint="eastAsia"/>
                                <w:b/>
                                <w:bCs/>
                              </w:rPr>
                              <w:t>2024-2025年度</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98.7pt;margin-top:309.45pt;height:35.25pt;width:167.8pt;mso-position-vertical-relative:page;z-index:251662336;mso-width-relative:page;mso-height-relative:page;" filled="f" stroked="f" coordsize="21600,21600" o:gfxdata="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dIYe1wAAAAsBAAAPAAAAAAAAAAEA&#10;IAAAACIAAABkcnMvZG93bnJldi54bWxQSwECFAAUAAAACACHTuJAfGni7kkCAAB0BAAADgAAAAAA&#10;AAABACAAAAAmAQAAZHJzL2Uyb0RvYy54bWxQSwUGAAAAAAYABgBZAQAA4QUAAAAA&#10;">
                <v:fill on="f" focussize="0,0"/>
                <v:stroke on="f" weight="0.5pt"/>
                <v:imagedata o:title=""/>
                <o:lock v:ext="edit" aspectratio="f"/>
                <v:textbox style="mso-fit-shape-to-text:t;">
                  <w:txbxContent>
                    <w:p w14:paraId="0288451E">
                      <w:pPr>
                        <w:pStyle w:val="8"/>
                        <w:jc w:val="center"/>
                        <w:rPr>
                          <w:rFonts w:hint="eastAsia"/>
                          <w:b/>
                          <w:bCs/>
                        </w:rPr>
                      </w:pPr>
                      <w:r>
                        <w:rPr>
                          <w:rFonts w:hint="eastAsia"/>
                          <w:b/>
                          <w:bCs/>
                        </w:rPr>
                        <w:t>2024-2025年度</w:t>
                      </w:r>
                    </w:p>
                  </w:txbxContent>
                </v:textbox>
              </v:shape>
            </w:pict>
          </mc:Fallback>
        </mc:AlternateContent>
      </w:r>
    </w:p>
    <w:p w14:paraId="2F009553">
      <w:pPr>
        <w:spacing w:before="120" w:beforeLines="50" w:line="570" w:lineRule="exact"/>
        <w:rPr>
          <w:rFonts w:hint="default" w:ascii="Times New Roman" w:hAnsi="Times New Roman" w:eastAsia="黑体" w:cs="Times New Roman"/>
          <w:b/>
          <w:szCs w:val="32"/>
        </w:rPr>
      </w:pPr>
    </w:p>
    <w:sdt>
      <w:sdtPr>
        <w:rPr>
          <w:rFonts w:hint="default" w:ascii="Times New Roman" w:hAnsi="Times New Roman" w:eastAsia="宋体" w:cs="Times New Roman"/>
        </w:rPr>
        <w:id w:val="147474951"/>
        <w15:color w:val="DBDBDB"/>
        <w:docPartObj>
          <w:docPartGallery w:val="Table of Contents"/>
          <w:docPartUnique/>
        </w:docPartObj>
      </w:sdtPr>
      <w:sdtEndPr>
        <w:rPr>
          <w:rFonts w:hint="default" w:ascii="Times New Roman" w:hAnsi="Times New Roman" w:eastAsia="黑体" w:cs="Times New Roman"/>
          <w:sz w:val="44"/>
          <w:szCs w:val="44"/>
        </w:rPr>
      </w:sdtEndPr>
      <w:sdtContent>
        <w:p w14:paraId="3B4A098A">
          <w:pPr>
            <w:jc w:val="center"/>
            <w:rPr>
              <w:rFonts w:hint="default" w:ascii="Times New Roman" w:hAnsi="Times New Roman" w:eastAsia="黑体" w:cs="Times New Roman"/>
              <w:b/>
              <w:bCs/>
              <w:sz w:val="44"/>
              <w:szCs w:val="52"/>
            </w:rPr>
          </w:pPr>
          <w:r>
            <w:rPr>
              <w:rFonts w:hint="default" w:ascii="Times New Roman" w:hAnsi="Times New Roman" w:eastAsia="黑体" w:cs="Times New Roman"/>
              <w:b/>
              <w:bCs/>
              <w:sz w:val="44"/>
              <w:szCs w:val="52"/>
            </w:rPr>
            <w:t>目</w:t>
          </w:r>
          <w:r>
            <w:rPr>
              <w:rFonts w:hint="default" w:ascii="Times New Roman" w:hAnsi="Times New Roman" w:eastAsia="黑体" w:cs="Times New Roman"/>
              <w:b/>
              <w:bCs/>
              <w:sz w:val="44"/>
              <w:szCs w:val="52"/>
              <w:lang w:val="en-US" w:eastAsia="zh-CN"/>
            </w:rPr>
            <w:t xml:space="preserve">  </w:t>
          </w:r>
          <w:r>
            <w:rPr>
              <w:rFonts w:hint="default" w:ascii="Times New Roman" w:hAnsi="Times New Roman" w:eastAsia="黑体" w:cs="Times New Roman"/>
              <w:b/>
              <w:bCs/>
              <w:sz w:val="44"/>
              <w:szCs w:val="52"/>
            </w:rPr>
            <w:t>录</w:t>
          </w:r>
        </w:p>
        <w:p w14:paraId="35402666">
          <w:pPr>
            <w:pStyle w:val="12"/>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b/>
              <w:sz w:val="44"/>
              <w:szCs w:val="44"/>
            </w:rPr>
            <w:fldChar w:fldCharType="begin"/>
          </w:r>
          <w:r>
            <w:rPr>
              <w:rFonts w:hint="default" w:ascii="Times New Roman" w:hAnsi="Times New Roman" w:eastAsia="黑体" w:cs="Times New Roman"/>
              <w:b/>
              <w:sz w:val="44"/>
              <w:szCs w:val="44"/>
            </w:rPr>
            <w:instrText xml:space="preserve">TOC \o "1-3" \h \u </w:instrText>
          </w:r>
          <w:r>
            <w:rPr>
              <w:rFonts w:hint="default" w:ascii="Times New Roman" w:hAnsi="Times New Roman" w:eastAsia="黑体" w:cs="Times New Roman"/>
              <w:b/>
              <w:sz w:val="44"/>
              <w:szCs w:val="44"/>
            </w:rPr>
            <w:fldChar w:fldCharType="separate"/>
          </w: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_Toc24618 </w:instrText>
          </w:r>
          <w:r>
            <w:rPr>
              <w:rFonts w:hint="default" w:ascii="Times New Roman" w:hAnsi="Times New Roman" w:eastAsia="黑体" w:cs="Times New Roman"/>
              <w:sz w:val="28"/>
              <w:szCs w:val="40"/>
            </w:rPr>
            <w:fldChar w:fldCharType="separate"/>
          </w:r>
          <w:r>
            <w:rPr>
              <w:rFonts w:hint="default" w:ascii="Times New Roman" w:hAnsi="Times New Roman" w:eastAsia="黑体" w:cs="Times New Roman"/>
              <w:sz w:val="28"/>
              <w:szCs w:val="44"/>
            </w:rPr>
            <w:t>一、思政精品项目建设内容及要求</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_Toc24618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156C947F">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_Toc4075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（一）高校思想政治工作精品项目</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_Toc4075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0FDA7C8F">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_Toc32174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（二）思想政治工作研究文库</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_Toc32174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7</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0EA9AD82">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_Toc10495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（三）原创文化精品</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_Toc10495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8</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4E2167C8">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_Toc17964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（四）场馆育人作用开发</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_Toc17964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9</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5B9EF4F2">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_Toc23157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（五）数字文物开发</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_Toc23157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10</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10AD6685">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_Toc16031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（六）学生心理健康教育指导典型案例</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_Toc16031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10</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297977B9">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_Toc16833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（七）新时代伟大变革融入高校思想政治教育典型案例</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_Toc16833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11</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2D4BA5BB">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_Toc12649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（八）大中小学思想政治教育一体化建设工作典型案例</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_Toc12649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12</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31E33FBB">
          <w:pPr>
            <w:pStyle w:val="12"/>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_Toc8059 </w:instrText>
          </w:r>
          <w:r>
            <w:rPr>
              <w:rFonts w:hint="default" w:ascii="Times New Roman" w:hAnsi="Times New Roman" w:eastAsia="黑体" w:cs="Times New Roman"/>
              <w:sz w:val="28"/>
              <w:szCs w:val="40"/>
            </w:rPr>
            <w:fldChar w:fldCharType="separate"/>
          </w:r>
          <w:r>
            <w:rPr>
              <w:rFonts w:hint="default" w:ascii="Times New Roman" w:hAnsi="Times New Roman" w:eastAsia="黑体" w:cs="Times New Roman"/>
              <w:sz w:val="28"/>
              <w:szCs w:val="44"/>
            </w:rPr>
            <w:t>二、思政骨干建设内容及要求</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_Toc8059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13</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683D27E0">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_Toc26002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（一）思想政治工作中青年骨干</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_Toc26002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13</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56A0A0EB">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_Toc19473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（二）网络教育名师</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_Toc19473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14</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76E5B3A0">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_Toc28985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（三）辅导员名师工作室</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_Toc28985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14</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499D06CE">
          <w:pPr>
            <w:pStyle w:val="12"/>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_Toc12038 </w:instrText>
          </w:r>
          <w:r>
            <w:rPr>
              <w:rFonts w:hint="default" w:ascii="Times New Roman" w:hAnsi="Times New Roman" w:eastAsia="黑体" w:cs="Times New Roman"/>
              <w:sz w:val="28"/>
              <w:szCs w:val="40"/>
            </w:rPr>
            <w:fldChar w:fldCharType="separate"/>
          </w:r>
          <w:r>
            <w:rPr>
              <w:rFonts w:hint="default" w:ascii="Times New Roman" w:hAnsi="Times New Roman" w:eastAsia="黑体" w:cs="Times New Roman"/>
              <w:sz w:val="28"/>
              <w:szCs w:val="44"/>
            </w:rPr>
            <w:t>三、思政实践基地建设内容及要求</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_Toc12038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15</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63EFA0E9">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_Toc2114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（一）红色文化弘扬基地</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_Toc2114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15</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42C80FA2">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_Toc13650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（二）学生综合素质训练基地</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_Toc13650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16</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2350961D">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_Toc29129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（三）综合性教育实践体验基地</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_Toc29129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16</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5D5785D0">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_Toc25063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w:t>
          </w:r>
          <w:r>
            <w:rPr>
              <w:rFonts w:hint="eastAsia" w:ascii="Times New Roman" w:hAnsi="Times New Roman" w:eastAsia="楷体" w:cs="Times New Roman"/>
              <w:bCs/>
              <w:sz w:val="28"/>
              <w:szCs w:val="44"/>
              <w:lang w:val="en-US" w:eastAsia="zh-CN"/>
            </w:rPr>
            <w:t>四</w:t>
          </w:r>
          <w:r>
            <w:rPr>
              <w:rFonts w:hint="default" w:ascii="Times New Roman" w:hAnsi="Times New Roman" w:eastAsia="楷体" w:cs="Times New Roman"/>
              <w:bCs/>
              <w:sz w:val="28"/>
              <w:szCs w:val="44"/>
            </w:rPr>
            <w:t>）</w:t>
          </w:r>
          <w:r>
            <w:rPr>
              <w:rFonts w:hint="default" w:ascii="Times New Roman" w:hAnsi="Times New Roman" w:eastAsia="楷体" w:cs="Times New Roman"/>
              <w:bCs/>
              <w:sz w:val="28"/>
              <w:szCs w:val="44"/>
              <w:lang w:eastAsia="zh-CN"/>
            </w:rPr>
            <w:t>习近平分领域思想实践教育研修</w:t>
          </w:r>
          <w:r>
            <w:rPr>
              <w:rFonts w:hint="default" w:ascii="Times New Roman" w:hAnsi="Times New Roman" w:eastAsia="楷体" w:cs="Times New Roman"/>
              <w:bCs/>
              <w:sz w:val="28"/>
              <w:szCs w:val="44"/>
            </w:rPr>
            <w:t>基地</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_Toc25063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18</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1817D9C1">
          <w:pPr>
            <w:pStyle w:val="12"/>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_Toc1894 </w:instrText>
          </w:r>
          <w:r>
            <w:rPr>
              <w:rFonts w:hint="default" w:ascii="Times New Roman" w:hAnsi="Times New Roman" w:eastAsia="黑体" w:cs="Times New Roman"/>
              <w:sz w:val="28"/>
              <w:szCs w:val="40"/>
            </w:rPr>
            <w:fldChar w:fldCharType="separate"/>
          </w:r>
          <w:r>
            <w:rPr>
              <w:rFonts w:hint="default" w:ascii="Times New Roman" w:hAnsi="Times New Roman" w:eastAsia="黑体" w:cs="Times New Roman"/>
              <w:sz w:val="28"/>
              <w:szCs w:val="44"/>
            </w:rPr>
            <w:t>四、数字思政资源建设内容及要求</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_Toc1894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18</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4B946B51">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_Toc4699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w:t>
          </w:r>
          <w:r>
            <w:rPr>
              <w:rFonts w:hint="eastAsia" w:ascii="Times New Roman" w:hAnsi="Times New Roman" w:eastAsia="楷体" w:cs="Times New Roman"/>
              <w:bCs/>
              <w:sz w:val="28"/>
              <w:szCs w:val="44"/>
              <w:lang w:val="en-US" w:eastAsia="zh-CN"/>
            </w:rPr>
            <w:t>一</w:t>
          </w:r>
          <w:r>
            <w:rPr>
              <w:rFonts w:hint="default" w:ascii="Times New Roman" w:hAnsi="Times New Roman" w:eastAsia="楷体" w:cs="Times New Roman"/>
              <w:bCs/>
              <w:sz w:val="28"/>
              <w:szCs w:val="44"/>
            </w:rPr>
            <w:t>）大学习领航计划数字成果资源库</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_Toc4699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19</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1853D06B">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_Toc3839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w:t>
          </w:r>
          <w:r>
            <w:rPr>
              <w:rFonts w:hint="eastAsia" w:ascii="Times New Roman" w:hAnsi="Times New Roman" w:eastAsia="楷体" w:cs="Times New Roman"/>
              <w:bCs/>
              <w:sz w:val="28"/>
              <w:szCs w:val="44"/>
              <w:lang w:val="en-US" w:eastAsia="zh-CN"/>
            </w:rPr>
            <w:t>二</w:t>
          </w:r>
          <w:r>
            <w:rPr>
              <w:rFonts w:hint="default" w:ascii="Times New Roman" w:hAnsi="Times New Roman" w:eastAsia="楷体" w:cs="Times New Roman"/>
              <w:bCs/>
              <w:sz w:val="28"/>
              <w:szCs w:val="44"/>
            </w:rPr>
            <w:t>）网络文化节数字作品资源库</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_Toc3839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29</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2459EC6F">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_Toc17767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w:t>
          </w:r>
          <w:r>
            <w:rPr>
              <w:rFonts w:hint="eastAsia" w:ascii="Times New Roman" w:hAnsi="Times New Roman" w:eastAsia="楷体" w:cs="Times New Roman"/>
              <w:bCs/>
              <w:sz w:val="28"/>
              <w:szCs w:val="44"/>
              <w:lang w:val="en-US" w:eastAsia="zh-CN"/>
            </w:rPr>
            <w:t>三</w:t>
          </w:r>
          <w:r>
            <w:rPr>
              <w:rFonts w:hint="default" w:ascii="Times New Roman" w:hAnsi="Times New Roman" w:eastAsia="楷体" w:cs="Times New Roman"/>
              <w:bCs/>
              <w:sz w:val="28"/>
              <w:szCs w:val="44"/>
            </w:rPr>
            <w:t>）全媒体数字平台资源库</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_Toc17767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32</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09121C46">
          <w:pPr>
            <w:pStyle w:val="13"/>
            <w:tabs>
              <w:tab w:val="right" w:leader="dot" w:pos="8336"/>
            </w:tabs>
            <w:rPr>
              <w:rFonts w:hint="default" w:ascii="Times New Roman" w:hAnsi="Times New Roman" w:cs="Times New Roman"/>
              <w:sz w:val="28"/>
              <w:szCs w:val="36"/>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_Toc12579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lang w:eastAsia="zh-CN"/>
            </w:rPr>
            <w:t>（</w:t>
          </w:r>
          <w:r>
            <w:rPr>
              <w:rFonts w:hint="eastAsia" w:ascii="Times New Roman" w:hAnsi="Times New Roman" w:eastAsia="楷体" w:cs="Times New Roman"/>
              <w:bCs/>
              <w:sz w:val="28"/>
              <w:szCs w:val="44"/>
              <w:lang w:val="en-US" w:eastAsia="zh-CN"/>
            </w:rPr>
            <w:t>四</w:t>
          </w:r>
          <w:r>
            <w:rPr>
              <w:rFonts w:hint="default" w:ascii="Times New Roman" w:hAnsi="Times New Roman" w:eastAsia="楷体" w:cs="Times New Roman"/>
              <w:bCs/>
              <w:sz w:val="28"/>
              <w:szCs w:val="44"/>
              <w:lang w:eastAsia="zh-CN"/>
            </w:rPr>
            <w:t>）以革命文物为主题的“大思政课”优质资源建设推广</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_Toc12579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32</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0EF0282A">
          <w:pPr>
            <w:pStyle w:val="13"/>
            <w:tabs>
              <w:tab w:val="right" w:leader="dot" w:pos="8336"/>
            </w:tabs>
            <w:rPr>
              <w:rFonts w:hint="default" w:ascii="Times New Roman" w:hAnsi="Times New Roman" w:cs="Times New Roman"/>
              <w:sz w:val="32"/>
              <w:szCs w:val="40"/>
            </w:rPr>
          </w:pPr>
          <w:r>
            <w:rPr>
              <w:rFonts w:hint="default" w:ascii="Times New Roman" w:hAnsi="Times New Roman" w:eastAsia="黑体" w:cs="Times New Roman"/>
              <w:sz w:val="28"/>
              <w:szCs w:val="40"/>
            </w:rPr>
            <w:fldChar w:fldCharType="begin"/>
          </w:r>
          <w:r>
            <w:rPr>
              <w:rFonts w:hint="default" w:ascii="Times New Roman" w:hAnsi="Times New Roman" w:eastAsia="黑体" w:cs="Times New Roman"/>
              <w:sz w:val="28"/>
              <w:szCs w:val="40"/>
            </w:rPr>
            <w:instrText xml:space="preserve"> HYPERLINK \l _Toc17733 </w:instrText>
          </w:r>
          <w:r>
            <w:rPr>
              <w:rFonts w:hint="default" w:ascii="Times New Roman" w:hAnsi="Times New Roman" w:eastAsia="黑体" w:cs="Times New Roman"/>
              <w:sz w:val="28"/>
              <w:szCs w:val="40"/>
            </w:rPr>
            <w:fldChar w:fldCharType="separate"/>
          </w:r>
          <w:r>
            <w:rPr>
              <w:rFonts w:hint="default" w:ascii="Times New Roman" w:hAnsi="Times New Roman" w:eastAsia="楷体" w:cs="Times New Roman"/>
              <w:bCs/>
              <w:sz w:val="28"/>
              <w:szCs w:val="44"/>
            </w:rPr>
            <w:t>（</w:t>
          </w:r>
          <w:r>
            <w:rPr>
              <w:rFonts w:hint="eastAsia" w:ascii="Times New Roman" w:hAnsi="Times New Roman" w:eastAsia="楷体" w:cs="Times New Roman"/>
              <w:bCs/>
              <w:sz w:val="28"/>
              <w:szCs w:val="44"/>
              <w:lang w:val="en-US" w:eastAsia="zh-CN"/>
            </w:rPr>
            <w:t>五</w:t>
          </w:r>
          <w:r>
            <w:rPr>
              <w:rFonts w:hint="default" w:ascii="Times New Roman" w:hAnsi="Times New Roman" w:eastAsia="楷体" w:cs="Times New Roman"/>
              <w:bCs/>
              <w:sz w:val="28"/>
              <w:szCs w:val="44"/>
            </w:rPr>
            <w:t>）礼敬中华优秀传统文化数字资源库</w:t>
          </w:r>
          <w:r>
            <w:rPr>
              <w:rFonts w:hint="default" w:ascii="Times New Roman" w:hAnsi="Times New Roman" w:cs="Times New Roman"/>
              <w:sz w:val="28"/>
              <w:szCs w:val="36"/>
            </w:rPr>
            <w:tab/>
          </w:r>
          <w:r>
            <w:rPr>
              <w:rFonts w:hint="default" w:ascii="Times New Roman" w:hAnsi="Times New Roman" w:cs="Times New Roman"/>
              <w:sz w:val="28"/>
              <w:szCs w:val="36"/>
            </w:rPr>
            <w:fldChar w:fldCharType="begin"/>
          </w:r>
          <w:r>
            <w:rPr>
              <w:rFonts w:hint="default" w:ascii="Times New Roman" w:hAnsi="Times New Roman" w:cs="Times New Roman"/>
              <w:sz w:val="28"/>
              <w:szCs w:val="36"/>
            </w:rPr>
            <w:instrText xml:space="preserve"> PAGEREF _Toc17733 \h </w:instrText>
          </w:r>
          <w:r>
            <w:rPr>
              <w:rFonts w:hint="default" w:ascii="Times New Roman" w:hAnsi="Times New Roman" w:cs="Times New Roman"/>
              <w:sz w:val="28"/>
              <w:szCs w:val="36"/>
            </w:rPr>
            <w:fldChar w:fldCharType="separate"/>
          </w:r>
          <w:r>
            <w:rPr>
              <w:rFonts w:hint="default" w:ascii="Times New Roman" w:hAnsi="Times New Roman" w:cs="Times New Roman"/>
              <w:sz w:val="28"/>
              <w:szCs w:val="36"/>
            </w:rPr>
            <w:t>35</w:t>
          </w:r>
          <w:r>
            <w:rPr>
              <w:rFonts w:hint="default" w:ascii="Times New Roman" w:hAnsi="Times New Roman" w:cs="Times New Roman"/>
              <w:sz w:val="28"/>
              <w:szCs w:val="36"/>
            </w:rPr>
            <w:fldChar w:fldCharType="end"/>
          </w:r>
          <w:r>
            <w:rPr>
              <w:rFonts w:hint="default" w:ascii="Times New Roman" w:hAnsi="Times New Roman" w:eastAsia="黑体" w:cs="Times New Roman"/>
              <w:sz w:val="28"/>
              <w:szCs w:val="40"/>
            </w:rPr>
            <w:fldChar w:fldCharType="end"/>
          </w:r>
        </w:p>
        <w:p w14:paraId="1C66C9CF">
          <w:pPr>
            <w:spacing w:before="120" w:beforeLines="50" w:line="570" w:lineRule="exact"/>
            <w:ind w:firstLine="640" w:firstLineChars="200"/>
            <w:jc w:val="center"/>
            <w:rPr>
              <w:rFonts w:hint="default" w:ascii="Times New Roman" w:hAnsi="Times New Roman" w:eastAsia="黑体" w:cs="Times New Roman"/>
              <w:sz w:val="44"/>
              <w:szCs w:val="44"/>
            </w:rPr>
          </w:pPr>
          <w:r>
            <w:rPr>
              <w:rFonts w:hint="default" w:ascii="Times New Roman" w:hAnsi="Times New Roman" w:eastAsia="黑体" w:cs="Times New Roman"/>
              <w:sz w:val="32"/>
              <w:szCs w:val="44"/>
            </w:rPr>
            <w:fldChar w:fldCharType="end"/>
          </w:r>
        </w:p>
      </w:sdtContent>
    </w:sdt>
    <w:p w14:paraId="31D92680">
      <w:pPr>
        <w:spacing w:before="120" w:beforeLines="50" w:line="570" w:lineRule="exact"/>
        <w:ind w:firstLine="880" w:firstLineChars="200"/>
        <w:jc w:val="center"/>
        <w:rPr>
          <w:rFonts w:hint="default" w:ascii="Times New Roman" w:hAnsi="Times New Roman" w:eastAsia="黑体" w:cs="Times New Roman"/>
          <w:sz w:val="44"/>
          <w:szCs w:val="44"/>
        </w:rPr>
        <w:sectPr>
          <w:pgSz w:w="11906" w:h="16839"/>
          <w:pgMar w:top="1431" w:right="1785" w:bottom="1512" w:left="1785" w:header="0" w:footer="1201" w:gutter="0"/>
          <w:cols w:space="720" w:num="1"/>
        </w:sectPr>
      </w:pPr>
    </w:p>
    <w:p w14:paraId="775C1BE4">
      <w:pPr>
        <w:wordWrap w:val="0"/>
        <w:spacing w:line="570" w:lineRule="exact"/>
        <w:ind w:firstLine="640" w:firstLineChars="200"/>
        <w:outlineLvl w:val="0"/>
        <w:rPr>
          <w:rFonts w:hint="default" w:ascii="Times New Roman" w:hAnsi="Times New Roman" w:eastAsia="黑体" w:cs="Times New Roman"/>
          <w:sz w:val="32"/>
          <w:szCs w:val="32"/>
        </w:rPr>
      </w:pPr>
      <w:bookmarkStart w:id="0" w:name="_Toc20907"/>
      <w:bookmarkStart w:id="1" w:name="_Toc24618"/>
      <w:r>
        <w:rPr>
          <w:rFonts w:hint="default" w:ascii="Times New Roman" w:hAnsi="Times New Roman" w:eastAsia="黑体" w:cs="Times New Roman"/>
          <w:sz w:val="32"/>
          <w:szCs w:val="32"/>
        </w:rPr>
        <w:t>一、思政精品项目建设内容及要求</w:t>
      </w:r>
      <w:bookmarkEnd w:id="0"/>
      <w:bookmarkEnd w:id="1"/>
    </w:p>
    <w:p w14:paraId="7CEE5768">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2" w:name="_Toc12938"/>
      <w:bookmarkStart w:id="3" w:name="_Toc4075"/>
      <w:r>
        <w:rPr>
          <w:rFonts w:hint="default" w:ascii="Times New Roman" w:hAnsi="Times New Roman" w:eastAsia="楷体" w:cs="Times New Roman"/>
          <w:b/>
          <w:bCs/>
          <w:sz w:val="32"/>
          <w:szCs w:val="32"/>
        </w:rPr>
        <w:t>（一）高校思想政治工作精品项目</w:t>
      </w:r>
      <w:bookmarkEnd w:id="2"/>
      <w:bookmarkEnd w:id="3"/>
    </w:p>
    <w:p w14:paraId="13CFB0FA">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高校思想政治工作精品项目包含理论武装精品项目、文化育人精品项目、心理育人精品项目、实践育人精品项目、网络育人精品项目、队伍建设精品项目、国家安全教育精品项目、育人共同体精品项目8项，具体建设目标如下：</w:t>
      </w:r>
    </w:p>
    <w:p w14:paraId="433FCD15">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（1）</w:t>
      </w:r>
      <w:r>
        <w:rPr>
          <w:rFonts w:hint="default" w:ascii="Times New Roman" w:hAnsi="Times New Roman" w:eastAsia="仿宋_GB2312" w:cs="Times New Roman"/>
          <w:b/>
          <w:bCs/>
          <w:sz w:val="32"/>
          <w:szCs w:val="32"/>
        </w:rPr>
        <w:t>理论武装精品项目。</w:t>
      </w:r>
      <w:r>
        <w:rPr>
          <w:rFonts w:hint="default" w:ascii="Times New Roman" w:hAnsi="Times New Roman" w:eastAsia="仿宋_GB2312" w:cs="Times New Roman"/>
          <w:sz w:val="32"/>
          <w:szCs w:val="32"/>
        </w:rPr>
        <w:t>以把道理讲深、讲透、讲活为目标引领，运用各种载体分群体深入开展习近平新时代中国特色社会主义思想学习研究宣传工作，推动领导干部、“两院”院士等专家学者、国企骨干、退役军人、劳动模范等各方面英雄模范人物进校园开展思想政治教育讲座培训，打造示范课堂，深入开展中国共产党人精神谱系宣讲，做好党员基本培训。探索师生理论武装常态化机制，教育引导广大师生把握好习近平新时代中国特色社会主义思想的世界观和方法论，坚持好、运用好贯穿其中的立场观点方法。</w:t>
      </w:r>
    </w:p>
    <w:p w14:paraId="5D889452">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（2）</w:t>
      </w:r>
      <w:r>
        <w:rPr>
          <w:rFonts w:hint="default" w:ascii="Times New Roman" w:hAnsi="Times New Roman" w:eastAsia="仿宋_GB2312" w:cs="Times New Roman"/>
          <w:b/>
          <w:bCs/>
          <w:sz w:val="32"/>
          <w:szCs w:val="32"/>
        </w:rPr>
        <w:t>文化育人精品项目。</w:t>
      </w:r>
      <w:r>
        <w:rPr>
          <w:rFonts w:hint="default" w:ascii="Times New Roman" w:hAnsi="Times New Roman" w:eastAsia="仿宋_GB2312" w:cs="Times New Roman"/>
          <w:sz w:val="32"/>
          <w:szCs w:val="32"/>
        </w:rPr>
        <w:t>以强化校园文化以文化人以文育人为目标引领，加强对学校校园文化各版块、各方面的整体性规划，充分挖掘校园红色资源，充分运用中华优秀传统文化、革命文化、社会主义先进文化和新时代伟大成就的育人功能，深入开展社会主义核心价值观宣传教育，发挥开学典礼、毕业典礼、校史校训等育人作用，开展形式多样、健康向上、格调高雅的校园文化活动，打造校园文化特色资源库，</w:t>
      </w:r>
      <w:r>
        <w:rPr>
          <w:rStyle w:val="18"/>
          <w:rFonts w:hint="default" w:ascii="Times New Roman" w:hAnsi="Times New Roman" w:eastAsia="仿宋_GB2312" w:cs="Times New Roman"/>
          <w:i w:val="0"/>
          <w:color w:val="000000" w:themeColor="text1"/>
          <w:sz w:val="32"/>
          <w:szCs w:val="32"/>
          <w:shd w:val="clear" w:color="auto" w:fill="FFFFFF"/>
          <w14:textFill>
            <w14:solidFill>
              <w14:schemeClr w14:val="tx1"/>
            </w14:solidFill>
          </w14:textFill>
        </w:rPr>
        <w:t>形成较强的品牌效应和育人实效。深入开展马克思主义经典和中华优秀传统文化经典诵读活动，着力打造书香校园。</w:t>
      </w:r>
      <w:r>
        <w:rPr>
          <w:rFonts w:hint="default" w:ascii="Times New Roman" w:hAnsi="Times New Roman" w:eastAsia="仿宋_GB2312" w:cs="Times New Roman"/>
          <w:sz w:val="32"/>
          <w:szCs w:val="32"/>
        </w:rPr>
        <w:t>大力创建文明校园，校风学风良好，在本地本校的文化传承创新、精神文明建设中发挥示范引领作用。</w:t>
      </w:r>
    </w:p>
    <w:p w14:paraId="1A35DDA4">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（3）</w:t>
      </w:r>
      <w:r>
        <w:rPr>
          <w:rFonts w:hint="default" w:ascii="Times New Roman" w:hAnsi="Times New Roman" w:eastAsia="仿宋_GB2312" w:cs="Times New Roman"/>
          <w:b/>
          <w:bCs/>
          <w:sz w:val="32"/>
          <w:szCs w:val="32"/>
        </w:rPr>
        <w:t>心理育人精品项目。</w:t>
      </w:r>
      <w:r>
        <w:rPr>
          <w:rFonts w:hint="default" w:ascii="Times New Roman" w:hAnsi="Times New Roman" w:eastAsia="仿宋_GB2312" w:cs="Times New Roman"/>
          <w:sz w:val="32"/>
          <w:szCs w:val="32"/>
        </w:rPr>
        <w:t>以落实健康第一的教育理念为目标引领，在构建心理健康教育工作格局等方面取得创新性突破，纳入学校人才培养考核评价机制。面向全体学生开设高质量的心理健康教育必修课，制作心理科普微课，开展专题心理讲座，宣传教育活动特色鲜明、效果显著，规范构建心理咨询服务体系，定期开展测评筛查，构建校内多部门多平台联动的综合感知系统，危机预防干预工作机制健全有力，大数据、人工智能等新技术赋能心理健康教育形成具体应用场景、工作模式，专兼结合工作队伍规模适当、素质良好，专项工作经费充足，办公场地和设备条件过硬，评价考核体系合理。构建“家校医”长效协同的育人机制和有效办法，推动家庭、学校和医疗机构的沟通合作与深度融合，共同关注学生心理健康、提供心理支持保障、筑牢心理安全防线。</w:t>
      </w:r>
    </w:p>
    <w:p w14:paraId="3EA9C08F">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（4）</w:t>
      </w:r>
      <w:r>
        <w:rPr>
          <w:rFonts w:hint="default" w:ascii="Times New Roman" w:hAnsi="Times New Roman" w:eastAsia="仿宋_GB2312" w:cs="Times New Roman"/>
          <w:b/>
          <w:bCs/>
          <w:sz w:val="32"/>
          <w:szCs w:val="32"/>
        </w:rPr>
        <w:t>实践育人精品项目。</w:t>
      </w:r>
      <w:r>
        <w:rPr>
          <w:rFonts w:hint="default" w:ascii="Times New Roman" w:hAnsi="Times New Roman" w:eastAsia="仿宋_GB2312" w:cs="Times New Roman"/>
          <w:sz w:val="32"/>
          <w:szCs w:val="32"/>
        </w:rPr>
        <w:t>立足知信行有机统一，推动学校小课堂和社会大课堂紧密联动、师生共同参与，全方位构建实践育人新范式。强化育人目标引领，坚持理论教育与实践养成相结合，在社会实践中深刻体验国家在经济、社会、文化、科技、生态等方面的重大战略需求、战略部署，精准锚定人生发展方向。课内外一体设计，将优质实践资源有机纳入教学安排，确保社会实践的学时学分安排。深化定向结对互动，加强与部队、政府、企业、社区、乡村等校外有关单位结对子，建立常态化交流机制，强化社会实践联动。结合专业特色服务，将思政教育、专业教育和创新创业教育深度融合，推动不同类型的学生结合专业所学，提供特色服务，解决社会所需。强化成果绩效管理，完善社会实践成果考核、评价、认定体系建设。注重典型宣传推广，挖掘社会实践先进典型，提炼有特色的实践育人机制、思路、模式，探索社会主义建设者和接班人培养的实践路径。</w:t>
      </w:r>
    </w:p>
    <w:p w14:paraId="3A8601DB">
      <w:pPr>
        <w:wordWrap w:val="0"/>
        <w:spacing w:line="570" w:lineRule="exact"/>
        <w:ind w:firstLine="643" w:firstLineChars="200"/>
        <w:rPr>
          <w:rStyle w:val="18"/>
          <w:rFonts w:hint="default" w:ascii="Times New Roman" w:hAnsi="Times New Roman" w:eastAsia="仿宋_GB2312" w:cs="Times New Roman"/>
          <w:i w:val="0"/>
          <w:color w:val="000000" w:themeColor="text1"/>
          <w:sz w:val="32"/>
          <w:szCs w:val="32"/>
          <w:shd w:val="clear" w:color="auto" w:fill="FFFFFF"/>
          <w14:textFill>
            <w14:solidFill>
              <w14:schemeClr w14:val="tx1"/>
            </w14:solidFill>
          </w14:textFill>
        </w:rPr>
      </w:pPr>
      <w:r>
        <w:rPr>
          <w:rFonts w:hint="default" w:ascii="Times New Roman" w:hAnsi="Times New Roman" w:eastAsia="楷体_GB2312" w:cs="Times New Roman"/>
          <w:b/>
          <w:bCs/>
          <w:sz w:val="32"/>
          <w:szCs w:val="32"/>
        </w:rPr>
        <w:t>（5）</w:t>
      </w:r>
      <w:r>
        <w:rPr>
          <w:rFonts w:hint="default" w:ascii="Times New Roman" w:hAnsi="Times New Roman" w:eastAsia="仿宋_GB2312" w:cs="Times New Roman"/>
          <w:b/>
          <w:bCs/>
          <w:sz w:val="32"/>
          <w:szCs w:val="32"/>
        </w:rPr>
        <w:t>网络育人精品项目。</w:t>
      </w:r>
      <w:r>
        <w:rPr>
          <w:rFonts w:hint="default" w:ascii="Times New Roman" w:hAnsi="Times New Roman" w:eastAsia="仿宋_GB2312" w:cs="Times New Roman"/>
          <w:sz w:val="32"/>
          <w:szCs w:val="32"/>
        </w:rPr>
        <w:t>注重推动形成共建共享、互联互通、同向同行的高校网络育人格局，有效建立师生黏合度高、覆盖面广、社会影响较大的网络平台。完善网络文化成果评价认证体系，将优秀网络文化成果纳入教师职称评聘和评奖评优体系。打造网络思想政治教育特色品牌，各类网络文化教育活动具有较强的时代感、创新性、实效性，注重加强师生网络安全意识、文明素养、行为习惯教育，育人导向鲜明、品牌效应显著、运行模式健全、传播效果良好。</w:t>
      </w:r>
      <w:r>
        <w:rPr>
          <w:rStyle w:val="18"/>
          <w:rFonts w:hint="default" w:ascii="Times New Roman" w:hAnsi="Times New Roman" w:eastAsia="仿宋_GB2312" w:cs="Times New Roman"/>
          <w:i w:val="0"/>
          <w:color w:val="000000" w:themeColor="text1"/>
          <w:sz w:val="32"/>
          <w:szCs w:val="32"/>
          <w:shd w:val="clear" w:color="auto" w:fill="FFFFFF"/>
          <w14:textFill>
            <w14:solidFill>
              <w14:schemeClr w14:val="tx1"/>
            </w14:solidFill>
          </w14:textFill>
        </w:rPr>
        <w:t>推动人工智能技术与思想政治工作的深度融合，围绕内容供给、队伍建设、精准思政等领域，创新打造“AI+思政”的智慧系统、典型应用和协同平台，促进高校思想政治工作数字化、智能化、智慧化。</w:t>
      </w:r>
    </w:p>
    <w:p w14:paraId="4D4E9724">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（6）</w:t>
      </w:r>
      <w:r>
        <w:rPr>
          <w:rFonts w:hint="default" w:ascii="Times New Roman" w:hAnsi="Times New Roman" w:eastAsia="仿宋_GB2312" w:cs="Times New Roman"/>
          <w:b/>
          <w:bCs/>
          <w:sz w:val="32"/>
          <w:szCs w:val="32"/>
        </w:rPr>
        <w:t>队伍建设精品项目。</w:t>
      </w:r>
      <w:r>
        <w:rPr>
          <w:rFonts w:hint="default" w:ascii="Times New Roman" w:hAnsi="Times New Roman" w:eastAsia="仿宋_GB2312" w:cs="Times New Roman"/>
          <w:sz w:val="32"/>
          <w:szCs w:val="32"/>
        </w:rPr>
        <w:t>以《全面加强新时代高校辅导员队伍建设行动方案》为牵引，坚持把辅导员队伍建设作为教师队伍和管理队伍建设的重要内容，将其纳入学校党委常委会议题，着力保证辅导员工作有条件、干事有平台、待遇有保障、发展有空间，打造一支政治立场坚定、规模结构合理、素质能力过硬、育人水平高超的高校辅导员队伍。立足配备选聘增效，按照专职为主、专兼结合、数量充足、素质优良的原则，严格落实专职辅导员事业编制身份，制定专职辅导员选苗育苗专项培养方案，将专职辅导员选苗育苗人才储备纳入学校辅导员队伍建设整体规划；立足培训培养赋能，能够围绕政治能力、教育能力、管理能力和自身建设等重点内容，聚焦辅导员主要工作职责，从学生思想引导、行为教导、学业辅导、心理疏导、就业指导等方面，提升辅导员核心素质能力，能够设立辅导员培训专项经费，结合本校学科特色与学生特点，分层组织开展贴合实际、务实管用的全覆盖培训，细化不同工作年限辅导员培训内容，实施分群体精准培训；立足发展晋升畅通，实现达到初、中级职称条件的辅导员应评尽评，成绩突出的专职辅导员可评聘正高级专业技术岗位，优化专职辅导员专业技术岗位结构；立足激励保障提质，能够针对辅导员不同发展阶段特征，结合不同岗位和不同职级实际，建立健全系统化、差异化、科学化的辅导员考评机制。</w:t>
      </w:r>
    </w:p>
    <w:p w14:paraId="37B8AC25">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（7）国家安全教育精品项目</w:t>
      </w:r>
      <w:r>
        <w:rPr>
          <w:rFonts w:hint="default" w:ascii="Times New Roman" w:hAnsi="Times New Roman" w:eastAsia="仿宋_GB2312" w:cs="Times New Roman"/>
          <w:sz w:val="32"/>
          <w:szCs w:val="32"/>
        </w:rPr>
        <w:t>。以推进总体国家安全观进教材、进课堂、进头脑为目标引领，构建全覆盖、高质量、有特色的高等学校国家安全教育体系，引导大学生牢固树立大安全理念，增强国家安全意识。围绕讲授《国家安全教育大学生读本》，开发有关课件，录制线上课程，分析相关案例，建设好国家安全教育公共基础课程及相应体系。紧密结合当前国家安全形势任务，精心组织策划国家安全教育活动，以点带面加强引领示范，发挥媒体矩阵作用，强化正向引领和全域传播。精心组织国家安全教育实践活动，形成安全教育实践品牌。充分发挥学科和人才优势，组建总体国家安全观宣讲团，组织相关师生深入校园、社区、单位等开展宣讲，提升实践育人和服务社会的能力。</w:t>
      </w:r>
    </w:p>
    <w:p w14:paraId="71FDDEA4">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（8）育人共同体精品项目。</w:t>
      </w:r>
      <w:r>
        <w:rPr>
          <w:rFonts w:hint="default" w:ascii="Times New Roman" w:hAnsi="Times New Roman" w:eastAsia="仿宋_GB2312" w:cs="Times New Roman"/>
          <w:sz w:val="32"/>
          <w:szCs w:val="32"/>
        </w:rPr>
        <w:t>坚持校内校外一体、线上线下融合，推进多元育人主体共同参与、多方育人资源系统集成、多维育人载体有机融合，创新打造深度贯通、同题共答的育人共同体，推动形成更具针对性实效性的思政工作新范式、新样态。要聚焦落实好立德树人根本任务，充分发挥高校、政府、行业、企业、科研院所等不同主体之间的育人作用，找准衔接点、互补点，建立常态化协同机制，通过各主体间的互学互鉴、互联互通，建立起更深层次的交流合作，统筹安排系列育人行动。优化原有育人载体、渠道和项目，深化校内外、各环节资源的开发利用，</w:t>
      </w:r>
      <w:r>
        <w:rPr>
          <w:rFonts w:hint="default" w:ascii="Times New Roman" w:hAnsi="Times New Roman" w:eastAsia="仿宋_GB2312" w:cs="Times New Roman"/>
          <w:color w:val="000000"/>
          <w:kern w:val="0"/>
          <w:sz w:val="32"/>
          <w:szCs w:val="32"/>
        </w:rPr>
        <w:t>搭建协同育人平台，推动思想政治教育工作多领域拓展、全方位覆盖</w:t>
      </w:r>
      <w:r>
        <w:rPr>
          <w:rFonts w:hint="default" w:ascii="Times New Roman" w:hAnsi="Times New Roman" w:eastAsia="仿宋_GB2312" w:cs="Times New Roman"/>
          <w:sz w:val="32"/>
          <w:szCs w:val="32"/>
        </w:rPr>
        <w:t>。</w:t>
      </w:r>
    </w:p>
    <w:p w14:paraId="594577B6">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申报</w:t>
      </w:r>
      <w:r>
        <w:rPr>
          <w:rFonts w:hint="default" w:ascii="Times New Roman" w:hAnsi="Times New Roman" w:eastAsia="仿宋_GB2312" w:cs="Times New Roman"/>
          <w:b/>
          <w:bCs/>
          <w:sz w:val="32"/>
          <w:szCs w:val="32"/>
        </w:rPr>
        <w:t>要求：</w:t>
      </w:r>
      <w:r>
        <w:rPr>
          <w:rFonts w:hint="default" w:ascii="Times New Roman" w:hAnsi="Times New Roman" w:eastAsia="仿宋_GB2312" w:cs="Times New Roman"/>
          <w:sz w:val="32"/>
          <w:szCs w:val="32"/>
        </w:rPr>
        <w:t>可从前期基础、建设预期、条件保障三个方面进行阐述。前期基础主要阐明具有的载体平台和体制机制、形成的突出成效和广泛影响等内容；建设预期主要阐明项目实施规划、重点难点突破、育人实效提升、成果转化推广等内容；条件保障主要阐明申报高校在政策、经费、平台、人员等方面所提供的支持。</w:t>
      </w:r>
    </w:p>
    <w:p w14:paraId="13E8211C">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4" w:name="_Toc5070"/>
      <w:bookmarkStart w:id="5" w:name="_Toc32174"/>
      <w:r>
        <w:rPr>
          <w:rFonts w:hint="default" w:ascii="Times New Roman" w:hAnsi="Times New Roman" w:eastAsia="楷体" w:cs="Times New Roman"/>
          <w:b/>
          <w:bCs/>
          <w:sz w:val="32"/>
          <w:szCs w:val="32"/>
        </w:rPr>
        <w:t>（二）思想政治工作研究文库</w:t>
      </w:r>
      <w:bookmarkEnd w:id="4"/>
      <w:bookmarkEnd w:id="5"/>
    </w:p>
    <w:p w14:paraId="0735C2BC">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聚焦重大理论问题、工作探索、实践经验等领域，推出一批高校思想政治工作领域具有影响力的理论和实践研究成果；搭建高校思想政治工作队伍的成果展示平台、学术研讨平台和经验交流平台，促进思想交流、学术碰撞、理论创新；发挥优秀成果和优秀人才的示范引领、辐射带动作用，推动高校思想政治工作创新发展前沿问题的研究与探索。</w:t>
      </w:r>
    </w:p>
    <w:p w14:paraId="00802541">
      <w:pPr>
        <w:wordWrap w:val="0"/>
        <w:spacing w:line="57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申报</w:t>
      </w:r>
      <w:r>
        <w:rPr>
          <w:rFonts w:hint="default" w:ascii="Times New Roman" w:hAnsi="Times New Roman" w:eastAsia="仿宋_GB2312" w:cs="Times New Roman"/>
          <w:b/>
          <w:bCs/>
          <w:sz w:val="32"/>
          <w:szCs w:val="32"/>
        </w:rPr>
        <w:t>要求：</w:t>
      </w:r>
      <w:r>
        <w:rPr>
          <w:rFonts w:hint="default" w:ascii="Times New Roman" w:hAnsi="Times New Roman" w:eastAsia="仿宋_GB2312" w:cs="Times New Roman"/>
          <w:sz w:val="32"/>
          <w:szCs w:val="32"/>
        </w:rPr>
        <w:t>选题范围要围绕思想政治教育相关学科的知识体系，属于党的建设、高校思想政治工作、平安校园建设等领域具有原创性、开拓性、前沿性的成果，突出理论性、学术性、现实性，对推进马克思主义理论大众化通俗化阐释、推动党的创新理论入脑入心、促进高校思想政治工作质量提升具有重要意义。形式为中文学术专著、专题论文集、案例分析、研究报告等（不包括教材、译著、工具书、散篇论文、资料汇编、普及性读物、软件等）。论文集应集中围绕某一专题；案例应具有代表性，并注重理论提升和分析；研究报告要问题突出，充分体现研究性质。须是已完成书稿且尚未公开出版，内容需符合《出版管理条例》相关要求，逻辑体系完整，符合学术规范，无知识产权争议，具备出版的基础条件。入选成果将由黑龙江省教育厅统一组织出版，申报人应保证成果入选后3个月内能按照专家咨询意见完成修改，交给出版社“齐清定”的书稿。</w:t>
      </w:r>
    </w:p>
    <w:p w14:paraId="450794DB">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6" w:name="_Toc10495"/>
      <w:bookmarkStart w:id="7" w:name="_Toc17035"/>
      <w:r>
        <w:rPr>
          <w:rFonts w:hint="default" w:ascii="Times New Roman" w:hAnsi="Times New Roman" w:eastAsia="楷体" w:cs="Times New Roman"/>
          <w:b/>
          <w:bCs/>
          <w:sz w:val="32"/>
          <w:szCs w:val="32"/>
        </w:rPr>
        <w:t>（三）原创文化精品</w:t>
      </w:r>
      <w:bookmarkEnd w:id="6"/>
      <w:bookmarkEnd w:id="7"/>
    </w:p>
    <w:p w14:paraId="394DFF0B">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坚持思想教育与艺术素质教育相结合，坚持思想精深、艺术精湛、制作精良相统一，推动高校广大师生积极创作体现时代精神，弘扬社会主义核心价值观，有机融入中华优秀传统文化、革命文化、社会主义先进文化和新时代伟大成就，反映教育改革发展成就，讴歌党、讴歌祖国、讴歌人民、讴歌英雄，接地气、传得开、留得下的原创校园文化精品力作。择优推广一批由高校师生原创的优秀文化作品，促进校园文化繁荣发展，推动以文化人、以文育人，滋养师生心灵、涵育师生品行、引领社会风尚。</w:t>
      </w:r>
    </w:p>
    <w:p w14:paraId="76ECB889">
      <w:pPr>
        <w:wordWrap w:val="0"/>
        <w:spacing w:line="57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申报</w:t>
      </w:r>
      <w:r>
        <w:rPr>
          <w:rFonts w:hint="default" w:ascii="Times New Roman" w:hAnsi="Times New Roman" w:eastAsia="仿宋_GB2312" w:cs="Times New Roman"/>
          <w:b/>
          <w:bCs/>
          <w:sz w:val="32"/>
          <w:szCs w:val="32"/>
        </w:rPr>
        <w:t>要求：</w:t>
      </w:r>
      <w:r>
        <w:rPr>
          <w:rFonts w:hint="default" w:ascii="Times New Roman" w:hAnsi="Times New Roman" w:eastAsia="仿宋_GB2312" w:cs="Times New Roman"/>
          <w:sz w:val="32"/>
          <w:szCs w:val="32"/>
        </w:rPr>
        <w:t>申报作品应为高校师生自主创作生产、主题鲜明、情感真挚、可推广性强的校园文化成熟作品，包括舞台剧、音乐、舞蹈、影视、文学等多种形式。作品应坚持育人导向，具有突出的思想性，聚焦时代主题，坚守中华文化立场，传播社会主义核心价值观。作品应符合人民群众和广大师生的审美需求，具有较高的艺术水准和欣赏价值，能艺术地呈现、传达、叙述、演绎作品所承载的思想内涵、价值理念、精神力量、文化意蕴和美学品位。作品应具有一定展演基础，师生满意度、参与度较高，社会反响与教育效果良好。</w:t>
      </w:r>
    </w:p>
    <w:p w14:paraId="5F9CEC27">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8" w:name="_Toc17964"/>
      <w:bookmarkStart w:id="9" w:name="_Toc25636"/>
      <w:r>
        <w:rPr>
          <w:rFonts w:hint="default" w:ascii="Times New Roman" w:hAnsi="Times New Roman" w:eastAsia="楷体" w:cs="Times New Roman"/>
          <w:b/>
          <w:bCs/>
          <w:sz w:val="32"/>
          <w:szCs w:val="32"/>
        </w:rPr>
        <w:t>（四）场馆育人作用开发</w:t>
      </w:r>
      <w:bookmarkEnd w:id="8"/>
      <w:bookmarkEnd w:id="9"/>
    </w:p>
    <w:p w14:paraId="3550E0C2">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深入挖掘校史馆、展览馆、博物馆、图书馆等高校场馆育人元素，进一步挖掘高校校史校情中特有的光荣传统、优秀事迹和先进文化内涵，把场馆育人融入思想政治工作全过程，组织开展“场馆育人”系列活动、建设“场馆育人”专业队伍、开发“场馆育人”衍生课程、加强“场馆育人”传播交流、推广“场馆育人”工作成效，推动场馆成为春风化雨、润物无声的学生沉浸式学习平台。</w:t>
      </w:r>
    </w:p>
    <w:p w14:paraId="48794A35">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2.建设要求：</w:t>
      </w:r>
      <w:r>
        <w:rPr>
          <w:rFonts w:hint="default" w:ascii="Times New Roman" w:hAnsi="Times New Roman" w:eastAsia="仿宋_GB2312" w:cs="Times New Roman"/>
          <w:sz w:val="32"/>
          <w:szCs w:val="32"/>
        </w:rPr>
        <w:t>聚焦立德树人根本任务，探索建立具有黑龙江省特色的“大思政课”实践教学工作机制，深入研究思政小课堂与社会大课堂协同育人的路径方法，推动全省高校与基地结对共建，孵化一批品牌活动、打造一批示范“金课”、产出一批优质课程资源、培养一支优秀师资、形成一批高水平教学研究成果，推动各校开门办思政课，切实提高吸引力和针对性，教育引导广大青年学生努力成为担当民族复兴大任的时代新人。</w:t>
      </w:r>
    </w:p>
    <w:p w14:paraId="7C7EDB9F">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10" w:name="_Toc23157"/>
      <w:bookmarkStart w:id="11" w:name="_Toc17816"/>
      <w:r>
        <w:rPr>
          <w:rFonts w:hint="default" w:ascii="Times New Roman" w:hAnsi="Times New Roman" w:eastAsia="楷体" w:cs="Times New Roman"/>
          <w:b/>
          <w:bCs/>
          <w:sz w:val="32"/>
          <w:szCs w:val="32"/>
        </w:rPr>
        <w:t>（五）数字文物开发</w:t>
      </w:r>
      <w:bookmarkEnd w:id="10"/>
      <w:bookmarkEnd w:id="11"/>
    </w:p>
    <w:p w14:paraId="12AF4CE7">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多维度挖掘高校文物蕴含的育人资源，强化数字技术对传统文物的赋能作用，包括参与文物数字化保护、开展数字文物系列活动、建设数字文物讲解队伍、开发数字文物的相关文化作品与产品等内容，面向全省高校师生进行虚拟展示和开放学习，更好地发挥教育、传播和科普功能，真正让藏在高校中的文物动起来、活起来、用起来。</w:t>
      </w:r>
    </w:p>
    <w:p w14:paraId="5913F37A">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2.作品要求：</w:t>
      </w:r>
      <w:r>
        <w:rPr>
          <w:rFonts w:hint="default" w:ascii="Times New Roman" w:hAnsi="Times New Roman" w:eastAsia="仿宋_GB2312" w:cs="Times New Roman"/>
          <w:sz w:val="32"/>
          <w:szCs w:val="32"/>
        </w:rPr>
        <w:t>申报作品包括建设思路、主要内容、特点亮点、社会影响或社会效益等，内容真实、主题突出、特色鲜明、语言生动。图片及音视频等相关材料电子版一并提交。</w:t>
      </w:r>
    </w:p>
    <w:p w14:paraId="07D180CA">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12" w:name="_Toc8046"/>
      <w:bookmarkStart w:id="13" w:name="_Toc16031"/>
      <w:r>
        <w:rPr>
          <w:rFonts w:hint="default" w:ascii="Times New Roman" w:hAnsi="Times New Roman" w:eastAsia="楷体" w:cs="Times New Roman"/>
          <w:b/>
          <w:bCs/>
          <w:sz w:val="32"/>
          <w:szCs w:val="32"/>
        </w:rPr>
        <w:t>（六）学生心理健康教育指导典型案例</w:t>
      </w:r>
      <w:bookmarkEnd w:id="12"/>
      <w:bookmarkEnd w:id="13"/>
    </w:p>
    <w:p w14:paraId="00E7D559">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分类遴选解析若干大学生心理健康教育指导典型案例，在保护隐私的基础上遴选汇总梳理，重点聚焦解决高校学生普遍存在的共性突出心理问题，针对家庭问题、心理与精神疾病、学业困扰、生涯发展、人际关系、情感问题等在日常心理咨询中出现频率较高的主题，具有普遍性、典型性、科学性、可推广性、逻辑性和专业性。</w:t>
      </w:r>
    </w:p>
    <w:p w14:paraId="733DFCC9">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2.作品要求：</w:t>
      </w:r>
      <w:r>
        <w:rPr>
          <w:rFonts w:hint="default" w:ascii="Times New Roman" w:hAnsi="Times New Roman" w:eastAsia="仿宋_GB2312" w:cs="Times New Roman"/>
          <w:sz w:val="32"/>
          <w:szCs w:val="32"/>
        </w:rPr>
        <w:t>作品需立足真实干预过程，突出典型性与指导性。案例应以匿名方式概述学生基本背景及问题发现契机，详述其心理困扰的具体表现及对日常功能的影响，结合专业评估工具明确问题本质。干预部分需清晰呈现多元策略的应用逻辑，如认知行为疗法调整负面思维、家校协作改善支持系统、朋辈互助强化情感联结等，并说明实施步骤与阶段性目标。效果评估应综合量表数据、行为观察及学生反馈，客观总结成效与不足，提炼可推广的经验，完整呈现从问题识别到干预反思的全流程，为心理健康教育提供兼具操作性启示与理论价值的参考范例。</w:t>
      </w:r>
    </w:p>
    <w:p w14:paraId="5A293170">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14" w:name="_Toc25736"/>
      <w:bookmarkStart w:id="15" w:name="_Toc16833"/>
      <w:r>
        <w:rPr>
          <w:rFonts w:hint="default" w:ascii="Times New Roman" w:hAnsi="Times New Roman" w:eastAsia="楷体" w:cs="Times New Roman"/>
          <w:b/>
          <w:bCs/>
          <w:sz w:val="32"/>
          <w:szCs w:val="32"/>
        </w:rPr>
        <w:t>（七）新时代伟大变革融入高校思想政治教育典型案例</w:t>
      </w:r>
      <w:bookmarkEnd w:id="14"/>
      <w:bookmarkEnd w:id="15"/>
    </w:p>
    <w:p w14:paraId="729987F2">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遴选解析若干新时代伟大变革融入高校思想政治教育典型案例，在深入挖掘新时代伟大变革成功案例历史、理论、实践、价值等方面育人元素的基础上，围绕“用什么融入、怎样融入、融入何处”进行阐释，讲清楚新时代伟大变革融入高校思想政治工作的重点内容、有效路径和保障机制，案例应具有逻辑性、典型性、操作性和可推广性。</w:t>
      </w:r>
    </w:p>
    <w:p w14:paraId="40C38442">
      <w:pPr>
        <w:wordWrap w:val="0"/>
        <w:overflowPunct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2.作品要求：</w:t>
      </w:r>
      <w:r>
        <w:rPr>
          <w:rFonts w:hint="default" w:ascii="Times New Roman" w:hAnsi="Times New Roman" w:eastAsia="仿宋_GB2312" w:cs="Times New Roman"/>
          <w:sz w:val="32"/>
          <w:szCs w:val="32"/>
        </w:rPr>
        <w:t>包含案例介绍、案例特色、推广价值三部分。案例介绍应聚焦“用什么融入”，伟大成就作为载体；“怎样融入”突出课程重构、实践浸润、技术赋能等路径创新；“融入何处”明确主渠道、主阵地、大课堂的协同育人机制。案例特色须提炼“三性融合”：育人体系凸显政治引领性、成果呈现强调数据实证性、创新实践突出技术前瞻性。推广价值应立足可复制性，提炼“理论淬炼+实践转化”双轨机制、“过程评价+效果反馈”动态模型，通过示范课程库、跨区域资源共享平台等可视化成果，展现其在破解思政教育“针对性不足”“协同力薄弱”等共性难题中的范式价值，为新时代思政工作提供可操作、能迭代、有辐射的创新方案。</w:t>
      </w:r>
    </w:p>
    <w:p w14:paraId="0ADCC78C">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16" w:name="_Toc12649"/>
      <w:bookmarkStart w:id="17" w:name="_Toc30168"/>
      <w:r>
        <w:rPr>
          <w:rFonts w:hint="default" w:ascii="Times New Roman" w:hAnsi="Times New Roman" w:eastAsia="楷体" w:cs="Times New Roman"/>
          <w:b/>
          <w:bCs/>
          <w:sz w:val="32"/>
          <w:szCs w:val="32"/>
        </w:rPr>
        <w:t>（八）大中小学思想政治教育一体化建设工作典型案例</w:t>
      </w:r>
      <w:bookmarkEnd w:id="16"/>
      <w:bookmarkEnd w:id="17"/>
    </w:p>
    <w:p w14:paraId="4BF28760">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遴选解析若干大中小学思想政治教育一体化建设工作典型案例，立足培养让党放心、爱国奉献、担当民族复兴重任的时代新人，发挥高校示范牵引作用，遵循思想政治工作规律、教书育人规律和学生成长规律，围绕理论武装、课程教材、文化涵育、实践育人、网络育人、心理健康、队伍支撑等方面，总结凝练深入推进大中小学思想政治教育一体化建设中形成的典型经验做法，明确育人主体、建设内容、覆盖范围、工作机制和显著成效，案例应具有创新性、典型性和可推广性。</w:t>
      </w:r>
    </w:p>
    <w:p w14:paraId="75B007F2">
      <w:pPr>
        <w:wordWrap w:val="0"/>
        <w:spacing w:line="570" w:lineRule="exact"/>
        <w:ind w:firstLine="643" w:firstLineChars="200"/>
        <w:rPr>
          <w:rFonts w:hint="default" w:ascii="Times New Roman" w:hAnsi="Times New Roman" w:eastAsia="楷体_GB2312" w:cs="Times New Roman"/>
          <w:sz w:val="32"/>
          <w:szCs w:val="32"/>
        </w:rPr>
      </w:pPr>
      <w:r>
        <w:rPr>
          <w:rFonts w:hint="default" w:ascii="Times New Roman" w:hAnsi="Times New Roman" w:eastAsia="仿宋_GB2312" w:cs="Times New Roman"/>
          <w:b/>
          <w:bCs/>
          <w:sz w:val="32"/>
          <w:szCs w:val="32"/>
        </w:rPr>
        <w:t>2.作品要求：</w:t>
      </w:r>
      <w:r>
        <w:rPr>
          <w:rFonts w:hint="default" w:ascii="Times New Roman" w:hAnsi="Times New Roman" w:eastAsia="仿宋_GB2312" w:cs="Times New Roman"/>
          <w:sz w:val="32"/>
          <w:szCs w:val="32"/>
        </w:rPr>
        <w:t>作品需凸显“纵向贯通、横向协同”的系统思维。案例介绍应聚焦“如何衔接”，构建学段目标进阶模型，创新内容分层递进载体；“怎样协同”需展现跨学段资源共享、活动共建、评价贯通等机制创新。案例特色须突出“三链融合”：育人链条体现全周期设计、资源链条打造交互式平台、评价链条建立动态监测体系。推广价值应立足破解“碎片化”“断层化”难题，提炼“目标统领-内容衔接-方法适配”操作范式，形成可迁移的课程共建标准、师资联研机制、社会资源整合模式，通过示范性课例集、跨学段实践基地、学生成长追踪报告等成果，为构建循序渐进、螺旋上升的一体化育人体系提供实践样板。</w:t>
      </w:r>
    </w:p>
    <w:p w14:paraId="4319EEA0">
      <w:pPr>
        <w:wordWrap w:val="0"/>
        <w:spacing w:line="570" w:lineRule="exact"/>
        <w:ind w:firstLine="640" w:firstLineChars="200"/>
        <w:outlineLvl w:val="0"/>
        <w:rPr>
          <w:rFonts w:hint="default" w:ascii="Times New Roman" w:hAnsi="Times New Roman" w:eastAsia="仿宋_GB2312" w:cs="Times New Roman"/>
          <w:sz w:val="32"/>
          <w:szCs w:val="32"/>
        </w:rPr>
      </w:pPr>
      <w:bookmarkStart w:id="18" w:name="_Toc8059"/>
      <w:bookmarkStart w:id="19" w:name="_Toc22205"/>
      <w:r>
        <w:rPr>
          <w:rFonts w:hint="default" w:ascii="Times New Roman" w:hAnsi="Times New Roman" w:eastAsia="黑体" w:cs="Times New Roman"/>
          <w:sz w:val="32"/>
          <w:szCs w:val="32"/>
        </w:rPr>
        <w:t>二、思政骨干建设内容及要求</w:t>
      </w:r>
      <w:bookmarkEnd w:id="18"/>
      <w:bookmarkEnd w:id="19"/>
    </w:p>
    <w:p w14:paraId="36E44924">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20" w:name="_Toc4476"/>
      <w:bookmarkStart w:id="21" w:name="_Toc26002"/>
      <w:r>
        <w:rPr>
          <w:rFonts w:hint="default" w:ascii="Times New Roman" w:hAnsi="Times New Roman" w:eastAsia="楷体" w:cs="Times New Roman"/>
          <w:b/>
          <w:bCs/>
          <w:sz w:val="32"/>
          <w:szCs w:val="32"/>
        </w:rPr>
        <w:t>（一）思想政治工作中青年骨干</w:t>
      </w:r>
      <w:bookmarkEnd w:id="20"/>
      <w:bookmarkEnd w:id="21"/>
    </w:p>
    <w:p w14:paraId="138E1308">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以习近平新时代中国特色社会主义思想为指导，引导和鼓励高校青年思想政治工作干部注重理论水平和素质能力的提升，注重探索、创新理论研究和实践工作模式，培养一支政治素质过硬、理论功底扎实、工作业绩突出、作风务实清廉的高校思想政治工作骨干队伍。</w:t>
      </w:r>
    </w:p>
    <w:p w14:paraId="13C4D5BA">
      <w:pPr>
        <w:wordWrap w:val="0"/>
        <w:spacing w:line="570" w:lineRule="exact"/>
        <w:ind w:firstLine="643" w:firstLineChars="200"/>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申报对象为高校思想政治工作队伍，具体包括高校分管校领导、党委工作部门干部、共青团干部、辅导员、心理健康教育教师、网络文化建设管理干部等人员，应当专职从事高校思想政治工作满8年。此次人选年龄要求为：截至（2025年1月1日），人选年龄不超过45周岁（1980年1月1日后出生）。申报人及团队应当能够承担理论研究、团队建设和成果转化等主要任务。理论研究方面，要围绕高校思想政治工作领域的重点难点问题提供解决思路、对新时代人工智能等带来的影响提供应对方案、为有效解决当代大学生的真问题提供意见建议，不断创新方法、手段和载体，形成高校思想政治工作的理论成果、先进经验和典型做法。团队建设方面，结合工作重点和研究方向，组建10人以上的工作团队或研究团队，培育具有丰富实践经验、较高理论水平的后备力量。要突出示范引领，培育支持期内，到高校开展理论宣讲、思想政治工作培训等5场以上，辐射带动高校思想政治工作队伍建设发展。要强化成果转化，培育支持期内，要提交高校思想政治工作重点难点问题工作研究报告或政策咨询报告至少1份，牵头开展具有引领示范作用的典型工作1—2项。</w:t>
      </w:r>
    </w:p>
    <w:p w14:paraId="1285DC2D">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22" w:name="_Toc13609"/>
      <w:bookmarkStart w:id="23" w:name="_Toc19473"/>
      <w:r>
        <w:rPr>
          <w:rFonts w:hint="default" w:ascii="Times New Roman" w:hAnsi="Times New Roman" w:eastAsia="楷体" w:cs="Times New Roman"/>
          <w:b/>
          <w:bCs/>
          <w:sz w:val="32"/>
          <w:szCs w:val="32"/>
        </w:rPr>
        <w:t>（二）网络教育名师</w:t>
      </w:r>
      <w:bookmarkEnd w:id="22"/>
      <w:bookmarkEnd w:id="23"/>
    </w:p>
    <w:p w14:paraId="4500246A">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以习近平新时代中国特色社会主义思想为指引，围绕落实立德树人根本任务，进一步加强网上正面宣传，培育积极健康、向上向善的网络文化，为广大网民努力营造一个风清气正的网络空间。</w:t>
      </w:r>
    </w:p>
    <w:p w14:paraId="3C431B88">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申报对象主要面向在编在岗教职员工，包括思想政治工作干部、党务工作干部和专业课教师等。要求政治素质过硬、理论功底扎实、网络育人成效明显、作风务实清廉。申报人及团队应该能够承担理论宣传教育、网络热点阐释、网络作品创作、网络人才培养、网络阵地建设等任务。要突出示范引领，培育支持期内，要创作具有一定传播度和影响力的不同形式的网络作品10件以上，每年到高校开展网络培训、主题报告等4次以上。要强化成果转化，培育支持期内，要</w:t>
      </w:r>
      <w:r>
        <w:rPr>
          <w:rFonts w:hint="default" w:ascii="Times New Roman" w:hAnsi="Times New Roman" w:eastAsia="仿宋_GB2312" w:cs="Times New Roman"/>
          <w:color w:val="000000"/>
          <w:sz w:val="32"/>
          <w:szCs w:val="32"/>
        </w:rPr>
        <w:t>提交高质量的高校网络思政工作调研报告或政策咨询报告至少1</w:t>
      </w:r>
      <w:r>
        <w:rPr>
          <w:rFonts w:hint="default" w:ascii="Times New Roman" w:hAnsi="Times New Roman" w:eastAsia="仿宋_GB2312" w:cs="Times New Roman"/>
          <w:sz w:val="32"/>
          <w:szCs w:val="32"/>
        </w:rPr>
        <w:t>份，牵头开展具有引领示范作用的典型工作1-2项。</w:t>
      </w:r>
    </w:p>
    <w:p w14:paraId="7F2B6C8C">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24" w:name="_Toc18905"/>
      <w:bookmarkStart w:id="25" w:name="_Toc28985"/>
      <w:r>
        <w:rPr>
          <w:rFonts w:hint="default" w:ascii="Times New Roman" w:hAnsi="Times New Roman" w:eastAsia="楷体" w:cs="Times New Roman"/>
          <w:b/>
          <w:bCs/>
          <w:sz w:val="32"/>
          <w:szCs w:val="32"/>
        </w:rPr>
        <w:t>（三）辅导员名师工作室</w:t>
      </w:r>
      <w:bookmarkEnd w:id="24"/>
      <w:bookmarkEnd w:id="25"/>
    </w:p>
    <w:p w14:paraId="2882661B">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以提升辅导员育人能力、促进辅导员成长发展为主线，充分发挥先进典型的示范引领和辐射带动作用，创新打造黑龙江省辅导员学习成长“共同体”，构建前辈领航、朋辈互助、同行交流平台。</w:t>
      </w:r>
    </w:p>
    <w:p w14:paraId="7E372135">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工作室实施主持人负责制，聚焦辅导员履职尽责、成长发展需要，制定工作室成员学习成长计划，能够指导和帮助工作室成员在建设周期内实现学习成长目标；紧紧围绕工作室建设主题，深化理论研究及实践探索，产出一批具有较强针对性与实效性的工作指南、案例或视频；能够依托高校辅导员队伍能力提升大数据赋能平台，吸纳更多优秀辅导员加入工作室建设，深化拓展工作室建设成效；强化示范带动作用，能够通过举办辅导员工作热点难点问题研讨会、编写工作指南等广泛宣传推广工作成果和典型经验，辐射带动辅导员队伍高质量发展。</w:t>
      </w:r>
    </w:p>
    <w:p w14:paraId="32EA2C6F">
      <w:pPr>
        <w:wordWrap w:val="0"/>
        <w:spacing w:line="570" w:lineRule="exact"/>
        <w:ind w:firstLine="640" w:firstLineChars="200"/>
        <w:outlineLvl w:val="0"/>
        <w:rPr>
          <w:rFonts w:hint="default" w:ascii="Times New Roman" w:hAnsi="Times New Roman" w:eastAsia="楷体_GB2312" w:cs="Times New Roman"/>
          <w:b/>
          <w:bCs/>
          <w:sz w:val="32"/>
          <w:szCs w:val="32"/>
        </w:rPr>
      </w:pPr>
      <w:bookmarkStart w:id="26" w:name="_Toc23123"/>
      <w:bookmarkStart w:id="27" w:name="_Toc12038"/>
      <w:r>
        <w:rPr>
          <w:rFonts w:hint="default" w:ascii="Times New Roman" w:hAnsi="Times New Roman" w:eastAsia="黑体" w:cs="Times New Roman"/>
          <w:sz w:val="32"/>
          <w:szCs w:val="32"/>
        </w:rPr>
        <w:t>三、</w:t>
      </w:r>
      <w:bookmarkEnd w:id="26"/>
      <w:bookmarkEnd w:id="27"/>
      <w:r>
        <w:rPr>
          <w:rFonts w:hint="default" w:ascii="Times New Roman" w:hAnsi="Times New Roman" w:eastAsia="黑体" w:cs="Times New Roman"/>
          <w:sz w:val="32"/>
          <w:szCs w:val="32"/>
        </w:rPr>
        <w:t>平台基地辐射引领建设</w:t>
      </w:r>
    </w:p>
    <w:p w14:paraId="3391B095">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28" w:name="_Toc5178"/>
      <w:bookmarkStart w:id="29" w:name="_Toc2114"/>
      <w:r>
        <w:rPr>
          <w:rFonts w:hint="default" w:ascii="Times New Roman" w:hAnsi="Times New Roman" w:eastAsia="楷体" w:cs="Times New Roman"/>
          <w:b/>
          <w:bCs/>
          <w:sz w:val="32"/>
          <w:szCs w:val="32"/>
        </w:rPr>
        <w:t>（一）红色文化弘扬基地</w:t>
      </w:r>
      <w:bookmarkEnd w:id="28"/>
      <w:bookmarkEnd w:id="29"/>
    </w:p>
    <w:p w14:paraId="704D2544">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面向红色文化教育基地遴选建设，传播红色精神、传承红色基因、赓续红色血脉，针对师生开展革命传统教育、爱国主义教育和铸牢中华民族共同体意识教育，定期举办专题展览、开展寻找红色基地系列活动等，开发数字虚拟展示资源内容，建设红色文化宣讲专业队伍，打造特色红色基地活动品牌，彰显红色文化教育功能。</w:t>
      </w:r>
    </w:p>
    <w:p w14:paraId="3CF84860">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需说明前期基础、建设思路、建设特色和保障举措。需立足黑龙江地域特色，系统整合本土红色资源，构建“主题展馆+实景课堂”融合载体，打造“四个一”标准化模块：一套数字化全景展陈系统、一批精品沉浸式课程、一支专业化宣讲梯队、一个品牌化活动矩阵。建设过程中需强化校地协同机制，联合党史研究机构建立资源开发智库，依托高校学科优势研发红色基因图谱数据库，通过建立全省高校红色教育基地联盟，丰富“黑土地上的精神力量”数字思政平台，形成可复制推广的红色文化育人“黑龙江模式”，切实增强红色教育的感染力、传播力与引领力。</w:t>
      </w:r>
    </w:p>
    <w:p w14:paraId="2E016114">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30" w:name="_Toc13650"/>
      <w:bookmarkStart w:id="31" w:name="_Toc24500"/>
      <w:r>
        <w:rPr>
          <w:rFonts w:hint="default" w:ascii="Times New Roman" w:hAnsi="Times New Roman" w:eastAsia="楷体" w:cs="Times New Roman"/>
          <w:b/>
          <w:bCs/>
          <w:sz w:val="32"/>
          <w:szCs w:val="32"/>
        </w:rPr>
        <w:t>（二）学生综合素质训练基地</w:t>
      </w:r>
      <w:bookmarkEnd w:id="30"/>
      <w:bookmarkEnd w:id="31"/>
    </w:p>
    <w:p w14:paraId="5802227D">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面向支持认定的校外学生综合素质训练基地遴选建设，功能设计以实现提高学生心理素质为主，兼具体能锻炼和实践体验，要求基地具有完备的软硬件设施，科学开展综合素质教育体系建设，根据学生发展需求持续优化场地设施、功能区设置、课程团队等，帮助学生在体育锻炼、心理涵养、实践训练中，增强体质、健全人格、锤炼意志，促进学生全面发展、身心健康水平不断提升。</w:t>
      </w:r>
    </w:p>
    <w:p w14:paraId="104CE45E">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需说明前期基础、建设思路、建设特色和保障举措。需说明综合素质评价建设思路，软硬件设施、功能区设置、课程体系、团队优化、持续改进、安全措施、成果推广。</w:t>
      </w:r>
    </w:p>
    <w:p w14:paraId="2165500C">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32" w:name="_Toc29129"/>
      <w:r>
        <w:rPr>
          <w:rFonts w:hint="default" w:ascii="Times New Roman" w:hAnsi="Times New Roman" w:eastAsia="楷体" w:cs="Times New Roman"/>
          <w:b/>
          <w:bCs/>
          <w:sz w:val="32"/>
          <w:szCs w:val="32"/>
        </w:rPr>
        <w:t>（三）综合性教育实践体验基地</w:t>
      </w:r>
      <w:bookmarkEnd w:id="32"/>
    </w:p>
    <w:p w14:paraId="57E59542">
      <w:pPr>
        <w:wordWrap w:val="0"/>
        <w:spacing w:line="57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面向支持认定的适合大学生前往开展体验式、研究性学习和实践探索创新活动的优质资源单位，遴选建设黑龙江省高校综合性教育实践体验基地，包括优秀传统文化教育基地、科普教育基地、科技创新基地、社会实践基地、国家安全教育基地等单位。建设形成主题鲜明、导向正确、内容丰富、形式多样、各具特色的实践体验项目，接纳省内高校师生开展主题参观、社会实践、志愿服务等活动，建立管理规范、责任清晰、保障安全的实践工作机制</w:t>
      </w:r>
      <w:r>
        <w:rPr>
          <w:rFonts w:hint="default" w:ascii="Times New Roman" w:hAnsi="Times New Roman" w:eastAsia="仿宋_GB2312" w:cs="Times New Roman"/>
          <w:color w:val="0000FF"/>
          <w:sz w:val="32"/>
          <w:szCs w:val="32"/>
        </w:rPr>
        <w:t>。</w:t>
      </w:r>
    </w:p>
    <w:p w14:paraId="6998BD9F">
      <w:pPr>
        <w:wordWrap w:val="0"/>
        <w:spacing w:line="570" w:lineRule="exact"/>
        <w:ind w:firstLine="640"/>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需说明前期基础、建设思路、建设特色和保障举措。说明建设的总体定位、功能布局、课程体系、师资管理、安全机制、评估推广。</w:t>
      </w:r>
    </w:p>
    <w:p w14:paraId="6006BAC4">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33" w:name="_Toc317946606"/>
      <w:bookmarkStart w:id="34" w:name="_Toc25063"/>
      <w:r>
        <w:rPr>
          <w:rFonts w:hint="default"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四</w:t>
      </w:r>
      <w:r>
        <w:rPr>
          <w:rFonts w:hint="default" w:ascii="Times New Roman" w:hAnsi="Times New Roman" w:eastAsia="楷体" w:cs="Times New Roman"/>
          <w:b/>
          <w:bCs/>
          <w:sz w:val="32"/>
          <w:szCs w:val="32"/>
        </w:rPr>
        <w:t>）</w:t>
      </w:r>
      <w:bookmarkEnd w:id="33"/>
      <w:r>
        <w:rPr>
          <w:rFonts w:hint="default" w:ascii="Times New Roman" w:hAnsi="Times New Roman" w:eastAsia="楷体" w:cs="Times New Roman"/>
          <w:b/>
          <w:bCs/>
          <w:sz w:val="32"/>
          <w:szCs w:val="32"/>
          <w:lang w:eastAsia="zh-CN"/>
        </w:rPr>
        <w:t>习近平分领域思想实践教育研修</w:t>
      </w:r>
      <w:r>
        <w:rPr>
          <w:rFonts w:hint="default" w:ascii="Times New Roman" w:hAnsi="Times New Roman" w:eastAsia="楷体" w:cs="Times New Roman"/>
          <w:b/>
          <w:bCs/>
          <w:sz w:val="32"/>
          <w:szCs w:val="32"/>
        </w:rPr>
        <w:t>基地</w:t>
      </w:r>
      <w:bookmarkEnd w:id="34"/>
    </w:p>
    <w:p w14:paraId="5CF24940">
      <w:pPr>
        <w:keepNext w:val="0"/>
        <w:keepLines w:val="0"/>
        <w:pageBreakBefore w:val="0"/>
        <w:widowControl w:val="0"/>
        <w:kinsoku/>
        <w:wordWrap w:val="0"/>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bookmarkStart w:id="35" w:name="_Toc1894"/>
      <w:bookmarkStart w:id="36" w:name="_Toc8227"/>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lang w:eastAsia="zh-CN"/>
        </w:rPr>
        <w:t>习近平分领域思想实践教育研修</w:t>
      </w:r>
      <w:r>
        <w:rPr>
          <w:rFonts w:hint="default" w:ascii="Times New Roman" w:hAnsi="Times New Roman" w:eastAsia="仿宋_GB2312" w:cs="Times New Roman"/>
          <w:sz w:val="32"/>
          <w:szCs w:val="32"/>
        </w:rPr>
        <w:t>基地</w:t>
      </w:r>
      <w:r>
        <w:rPr>
          <w:rFonts w:hint="default" w:ascii="Times New Roman" w:hAnsi="Times New Roman" w:eastAsia="仿宋_GB2312" w:cs="Times New Roman"/>
          <w:sz w:val="32"/>
          <w:szCs w:val="32"/>
          <w:lang w:eastAsia="zh-CN"/>
        </w:rPr>
        <w:t>包括习近平经济思想、法治思想、文化思想、生态文明思想等实践教育研修基地。基地</w:t>
      </w:r>
      <w:r>
        <w:rPr>
          <w:rFonts w:hint="default" w:ascii="Times New Roman" w:hAnsi="Times New Roman" w:eastAsia="仿宋_GB2312" w:cs="Times New Roman"/>
          <w:sz w:val="32"/>
          <w:szCs w:val="32"/>
          <w:lang w:val="en-US" w:eastAsia="zh-CN"/>
        </w:rPr>
        <w:t>以习近平新时代中国特色社会主义思想为指导，</w:t>
      </w:r>
      <w:bookmarkStart w:id="37" w:name="OLE_LINK2"/>
      <w:r>
        <w:rPr>
          <w:rFonts w:hint="default" w:ascii="Times New Roman" w:hAnsi="Times New Roman" w:eastAsia="仿宋_GB2312" w:cs="Times New Roman"/>
          <w:sz w:val="32"/>
          <w:szCs w:val="32"/>
          <w:lang w:val="en-US" w:eastAsia="zh-CN"/>
        </w:rPr>
        <w:t>以中国特色社会主义取得的举世瞩目成就为内容支撑，加强习近平分领域思想的学习研究阐释，打造习近平分领域思想优质教学资源，定期召开研讨会、座谈会、交流会、分享会等，开展思政课教师社会实践研修，推动思政课建设与党的创新理论</w:t>
      </w:r>
      <w:bookmarkEnd w:id="37"/>
      <w:r>
        <w:rPr>
          <w:rFonts w:hint="default" w:ascii="Times New Roman" w:hAnsi="Times New Roman" w:eastAsia="仿宋_GB2312" w:cs="Times New Roman"/>
          <w:sz w:val="32"/>
          <w:szCs w:val="32"/>
          <w:lang w:val="en-US" w:eastAsia="zh-CN"/>
        </w:rPr>
        <w:t>武装同步、思政小课堂与社会大课堂有效融合，增进广大师生对习近平新时代中国特色社会主义思想的政治认同、思想认同、理论认同、情感认同。</w:t>
      </w:r>
    </w:p>
    <w:p w14:paraId="45EEEE19">
      <w:pPr>
        <w:keepNext w:val="0"/>
        <w:keepLines w:val="0"/>
        <w:pageBreakBefore w:val="0"/>
        <w:widowControl w:val="0"/>
        <w:kinsoku/>
        <w:wordWrap w:val="0"/>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rPr>
        <w:t>需说明前期基础、建设思路、建设特色和保障举措。说明建设的总体定位、功能布局、课程体系、师资管理、安全机制、评估推广。</w:t>
      </w:r>
    </w:p>
    <w:p w14:paraId="43EF18FF">
      <w:pPr>
        <w:wordWrap w:val="0"/>
        <w:spacing w:line="570" w:lineRule="exact"/>
        <w:ind w:firstLine="640" w:firstLineChars="200"/>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四、数字思政资源建设内容及要求</w:t>
      </w:r>
      <w:bookmarkEnd w:id="35"/>
      <w:bookmarkEnd w:id="36"/>
    </w:p>
    <w:p w14:paraId="69F81E98">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38" w:name="_Toc4699"/>
      <w:bookmarkStart w:id="39" w:name="_Toc18482"/>
      <w:r>
        <w:rPr>
          <w:rFonts w:hint="default"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一</w:t>
      </w:r>
      <w:r>
        <w:rPr>
          <w:rFonts w:hint="default" w:ascii="Times New Roman" w:hAnsi="Times New Roman" w:eastAsia="楷体" w:cs="Times New Roman"/>
          <w:b/>
          <w:bCs/>
          <w:sz w:val="32"/>
          <w:szCs w:val="32"/>
        </w:rPr>
        <w:t>）大学习领航计划数字成果资源库</w:t>
      </w:r>
      <w:bookmarkEnd w:id="38"/>
      <w:bookmarkEnd w:id="39"/>
    </w:p>
    <w:p w14:paraId="0A327ACE">
      <w:pPr>
        <w:wordWrap w:val="0"/>
        <w:spacing w:line="57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依托全国“大思政课”实践教学数字地图，充分调动大学生学习思政课的积极性、主动性、创造性，组织开展大学生讲思政课、大学生微电影展示、大学生马克思主义理论学习夏令营、手绘地图、我眼中的新时代等活动，有组织地定期推出特色化、实物化、社交化、年轻化、网感化的实践教学成果，集中展现全国各地“大思政课”建设进展和育人成效。</w:t>
      </w:r>
    </w:p>
    <w:p w14:paraId="6EAE8056">
      <w:pPr>
        <w:spacing w:line="57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2.申报要求</w:t>
      </w:r>
    </w:p>
    <w:p w14:paraId="641D5CB9">
      <w:pPr>
        <w:spacing w:line="57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2.1大学讲思政课作品内容和形式</w:t>
      </w:r>
    </w:p>
    <w:p w14:paraId="7797BF66">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（1）内容和时长标准</w:t>
      </w:r>
    </w:p>
    <w:p w14:paraId="67907A26">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使用的资料、图片、外景实拍、实验和表演等形象化教学手段，应符合教学内容要求，与讲授内容联系紧密。视频中不得出现或暗示报送学校、团队成员、指导教师等信息。总时长控制在12分钟以内，并切为数条小视频，单条小视频控制在180秒以内，每条小视频应内容要素完整、相对独立成篇，片头应清晰呈现作品主题。</w:t>
      </w:r>
    </w:p>
    <w:p w14:paraId="5BB43F2A">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（2）技术参数标准</w:t>
      </w:r>
    </w:p>
    <w:p w14:paraId="63EAB19D">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视频信号源。</w:t>
      </w:r>
      <w:r>
        <w:rPr>
          <w:rFonts w:hint="default" w:ascii="Times New Roman" w:hAnsi="Times New Roman" w:eastAsia="仿宋_GB2312" w:cs="Times New Roman"/>
          <w:kern w:val="2"/>
          <w:sz w:val="32"/>
          <w:szCs w:val="32"/>
        </w:rPr>
        <w:t>稳定性：全片图像同步性能稳定，无失步现象，图像无抖动跳跃，色彩无突变，编辑点处图像稳定。色调：白平衡正确，无明显色偏，多机拍摄的镜头衔接处无明显色差。格式：建议使用1080P或以上。</w:t>
      </w:r>
    </w:p>
    <w:p w14:paraId="238163D9">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音频信号源。</w:t>
      </w:r>
      <w:r>
        <w:rPr>
          <w:rFonts w:hint="default" w:ascii="Times New Roman" w:hAnsi="Times New Roman" w:eastAsia="仿宋_GB2312" w:cs="Times New Roman"/>
          <w:kern w:val="2"/>
          <w:sz w:val="32"/>
          <w:szCs w:val="32"/>
        </w:rPr>
        <w:t>声道：立体声、双声道。音画同步，无明显的交流声或其他杂音。伴音清晰、饱满、圆润，无失真、噪音杂音干扰、音量忽大忽小现象。解说声与现场声无明显比例失调，解说声与背景音乐无明显比例失调。</w:t>
      </w:r>
    </w:p>
    <w:p w14:paraId="55EFE70B">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视频压缩格式及技术参数。</w:t>
      </w:r>
      <w:r>
        <w:rPr>
          <w:rFonts w:hint="default" w:ascii="Times New Roman" w:hAnsi="Times New Roman" w:eastAsia="仿宋_GB2312" w:cs="Times New Roman"/>
          <w:kern w:val="2"/>
          <w:sz w:val="32"/>
          <w:szCs w:val="32"/>
        </w:rPr>
        <w:t>视频压缩采用H.264编码、MP4或MOV格式。视频码流率：动态码流的最低码率不得低于1024Kbit/s。视频分辨率及宽高比：竖屏视频画幅宽高比不低于9:16，分辨率不低于1080×1920；横屏视频画幅宽高比不低于16:9，分辨率不低于1920×1080。视频帧率为25帧/秒或以上。扫描方式采用逐行扫描。每条180秒以内视频不超过300MB。</w:t>
      </w:r>
    </w:p>
    <w:p w14:paraId="475837F9">
      <w:pPr>
        <w:pStyle w:val="5"/>
        <w:widowControl/>
        <w:shd w:val="clear" w:color="auto" w:fill="FFFFFF"/>
        <w:wordWrap w:val="0"/>
        <w:topLinePunct/>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音频压缩格式及技术参数。</w:t>
      </w:r>
      <w:r>
        <w:rPr>
          <w:rFonts w:hint="default" w:ascii="Times New Roman" w:hAnsi="Times New Roman" w:eastAsia="仿宋_GB2312" w:cs="Times New Roman"/>
          <w:kern w:val="2"/>
          <w:sz w:val="32"/>
          <w:szCs w:val="32"/>
        </w:rPr>
        <w:t>音频压缩采用AAC(MPEG4Part3)格式，采样率48KHz，音频码流率128Kbps（恒定）。</w:t>
      </w:r>
    </w:p>
    <w:p w14:paraId="108EDC50">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字幕文件技术参数</w:t>
      </w:r>
      <w:r>
        <w:rPr>
          <w:rFonts w:hint="default" w:ascii="Times New Roman" w:hAnsi="Times New Roman" w:eastAsia="仿宋_GB2312" w:cs="Times New Roman"/>
          <w:kern w:val="2"/>
          <w:sz w:val="32"/>
          <w:szCs w:val="32"/>
        </w:rPr>
        <w:t>。可选配字幕。</w:t>
      </w:r>
    </w:p>
    <w:p w14:paraId="1DC51B2A">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楷体_GB2312" w:cs="Times New Roman"/>
          <w:b/>
          <w:bCs/>
          <w:kern w:val="2"/>
          <w:sz w:val="32"/>
          <w:szCs w:val="32"/>
        </w:rPr>
        <w:t>（3）宣传图片制作标准</w:t>
      </w:r>
    </w:p>
    <w:p w14:paraId="7CCF279F">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bookmarkStart w:id="40" w:name="_Hlk169192103"/>
      <w:bookmarkEnd w:id="40"/>
      <w:r>
        <w:rPr>
          <w:rFonts w:hint="default" w:ascii="Times New Roman" w:hAnsi="Times New Roman" w:eastAsia="仿宋_GB2312" w:cs="Times New Roman"/>
          <w:kern w:val="2"/>
          <w:sz w:val="32"/>
          <w:szCs w:val="32"/>
        </w:rPr>
        <w:t>宣传图片应图文清晰，比例为16:9，不小于3MB，格式为“.JPG”或“.JPEG”。图片要包含作品主题、报送学校、团队师生姓名信息。</w:t>
      </w:r>
    </w:p>
    <w:p w14:paraId="3E698963">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（4） </w:t>
      </w:r>
      <w:bookmarkStart w:id="41" w:name="_Hlk169192252"/>
      <w:bookmarkEnd w:id="41"/>
      <w:r>
        <w:rPr>
          <w:rFonts w:hint="default" w:ascii="Times New Roman" w:hAnsi="Times New Roman" w:eastAsia="楷体_GB2312" w:cs="Times New Roman"/>
          <w:b/>
          <w:bCs/>
          <w:kern w:val="2"/>
          <w:sz w:val="32"/>
          <w:szCs w:val="32"/>
        </w:rPr>
        <w:t>教学设计制作标准</w:t>
      </w:r>
    </w:p>
    <w:p w14:paraId="2AE8EBA3">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教学设计要包含课程主题、对应的思政课有关章节或专题、对应的实践教学基地等育人场馆信息，以及教学目标、教学过程、各条小视频的内容简介和逻辑关系说明，不超过1500字。教学设计的主标题为黑体二号字，一级标题为黑体三号字，二级标题为楷体三号字，三级标题及以下、正文部分为仿宋三号字，全文行间距29磅，格式为“.PDF”。</w:t>
      </w:r>
    </w:p>
    <w:p w14:paraId="6FB51766">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2.2微电影</w:t>
      </w:r>
      <w:r>
        <w:rPr>
          <w:rFonts w:hint="eastAsia" w:ascii="Times New Roman" w:hAnsi="Times New Roman" w:eastAsia="楷体_GB2312" w:cs="Times New Roman"/>
          <w:b/>
          <w:bCs/>
          <w:kern w:val="2"/>
          <w:sz w:val="32"/>
          <w:szCs w:val="32"/>
          <w:lang w:eastAsia="zh-CN"/>
        </w:rPr>
        <w:t>：</w:t>
      </w:r>
      <w:r>
        <w:rPr>
          <w:rFonts w:hint="eastAsia" w:ascii="Times New Roman" w:hAnsi="Times New Roman" w:eastAsia="楷体_GB2312" w:cs="Times New Roman"/>
          <w:b/>
          <w:bCs/>
          <w:kern w:val="2"/>
          <w:sz w:val="32"/>
          <w:szCs w:val="32"/>
          <w:lang w:val="en-US" w:eastAsia="zh-CN"/>
        </w:rPr>
        <w:t>我心中的思政课</w:t>
      </w:r>
      <w:r>
        <w:rPr>
          <w:rFonts w:hint="default" w:ascii="Times New Roman" w:hAnsi="Times New Roman" w:eastAsia="楷体_GB2312" w:cs="Times New Roman"/>
          <w:b/>
          <w:bCs/>
          <w:kern w:val="2"/>
          <w:sz w:val="32"/>
          <w:szCs w:val="32"/>
        </w:rPr>
        <w:t>内容和形式</w:t>
      </w:r>
    </w:p>
    <w:p w14:paraId="0AEF7ACB">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分长视频、短视频两个组别。长视频应为原创类作品，通过团队表演情景剧或动漫设计等方式自由创作，表现思政课思想内涵或学生对思政课的理解期待等。短视频应为剪辑二创类作品，可参照首部思政课电影《我要当老师》，通过改编翻拍、电影解说、主题混剪、视频影评等手法，以学生喜闻乐见的形式呈现思政课内容。</w:t>
      </w:r>
    </w:p>
    <w:p w14:paraId="6977B07B">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（1）内容和时长标准</w:t>
      </w:r>
    </w:p>
    <w:p w14:paraId="1510063C">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出镜学生必须是在读的大学生，出镜教师必须是思政课教师，不能是只有教师出镜的微课展示。作品中选用的影视作品或音乐、图片以及自拍素材，应符合国家相关版权法律法规，并注明素材来源，一般不选用地图类素材。涉及人物访谈内容时，应加注人物介绍。视频动画的设计与使用，要与课程内容相贴合，能够发挥良好的教学效果，动画的呈现须流畅、合理，图像清晰，且具有较强的可视性。视频中不得出现或暗示报送学校、团队成员或指导教师等信息。长视频建议为横屏作品，时长控制在15分钟以内，并切为数条小视频，单条小视频控制在180秒以内，每条小视频应内容要素完整，相对独立成篇；短视频建议为竖屏作品，时长180秒以内。</w:t>
      </w:r>
    </w:p>
    <w:p w14:paraId="1F180503">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（2）技术参数标准</w:t>
      </w:r>
    </w:p>
    <w:p w14:paraId="74EE440D">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视频信号源。</w:t>
      </w:r>
      <w:r>
        <w:rPr>
          <w:rFonts w:hint="default" w:ascii="Times New Roman" w:hAnsi="Times New Roman" w:eastAsia="仿宋_GB2312" w:cs="Times New Roman"/>
          <w:kern w:val="2"/>
          <w:sz w:val="32"/>
          <w:szCs w:val="32"/>
        </w:rPr>
        <w:t>稳定性：全片图像同步性能稳定，无失步现象，图像无抖动跳跃，色彩无突变，编辑点处图像稳定。色调：白平衡正确，无明显色偏，多机拍摄的镜头衔接处无明显色差。格式：建议使用1080P或以上。</w:t>
      </w:r>
    </w:p>
    <w:p w14:paraId="5E7B73CF">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音频信号源</w:t>
      </w:r>
      <w:r>
        <w:rPr>
          <w:rFonts w:hint="default" w:ascii="Times New Roman" w:hAnsi="Times New Roman" w:eastAsia="仿宋_GB2312" w:cs="Times New Roman"/>
          <w:kern w:val="2"/>
          <w:sz w:val="32"/>
          <w:szCs w:val="32"/>
        </w:rPr>
        <w:t>。声道：立体声、双声道。音画同步，无明显的交流声或其他杂音。伴音清晰、饱满、圆润，无失真、噪音杂音干扰、音量忽大忽小现象。解说声与现场声无明显比例失调，解说声与背景音乐无明显比例失调。</w:t>
      </w:r>
    </w:p>
    <w:p w14:paraId="093F7985">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视频压缩格式及技术参数。</w:t>
      </w:r>
      <w:r>
        <w:rPr>
          <w:rFonts w:hint="default" w:ascii="Times New Roman" w:hAnsi="Times New Roman" w:eastAsia="仿宋_GB2312" w:cs="Times New Roman"/>
          <w:kern w:val="2"/>
          <w:sz w:val="32"/>
          <w:szCs w:val="32"/>
        </w:rPr>
        <w:t>视频压缩采用H.264编码、MP4或MOV格式。视频码流率：动态码流的最低码率不得低于1024Kbit/s。视频分辨率及宽高比：竖屏视频画幅宽高比不低于9:16，分辨率不低于1080×1920；横屏视频画幅宽高比不低于16:9，分辨率不低于1920×1080。视频帧率为25帧/秒或以上。扫描方式采用逐行扫描。每条180秒以内视频不超过300MB。</w:t>
      </w:r>
    </w:p>
    <w:p w14:paraId="10C916AD">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音频压缩格式及技术参数。</w:t>
      </w:r>
      <w:r>
        <w:rPr>
          <w:rFonts w:hint="default" w:ascii="Times New Roman" w:hAnsi="Times New Roman" w:eastAsia="仿宋_GB2312" w:cs="Times New Roman"/>
          <w:kern w:val="2"/>
          <w:sz w:val="32"/>
          <w:szCs w:val="32"/>
        </w:rPr>
        <w:t>音频压缩采用AAC(MPEG4Part3)格式，采样率48KHz，音频码流率128Kbps（恒定）。</w:t>
      </w:r>
    </w:p>
    <w:p w14:paraId="1127FA57">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rPr>
        <w:t>字幕文件技术参数。</w:t>
      </w:r>
      <w:r>
        <w:rPr>
          <w:rFonts w:hint="default" w:ascii="Times New Roman" w:hAnsi="Times New Roman" w:eastAsia="仿宋_GB2312" w:cs="Times New Roman"/>
          <w:kern w:val="2"/>
          <w:sz w:val="32"/>
          <w:szCs w:val="32"/>
        </w:rPr>
        <w:t>长视频作品字幕按传统方式呈现于视频底部、短视频作品可按内容逻辑以合适的创意形式呈现或者不呈现。字幕与视频同步封装，不单独提交字幕文件。</w:t>
      </w:r>
    </w:p>
    <w:p w14:paraId="756D578F">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（3）宣传图片制作标准</w:t>
      </w:r>
    </w:p>
    <w:p w14:paraId="75C3412D">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宣传图片应图文清晰，比例为16:9，不小于3MB，格式为“.JPG”或“.JPEG”。图片要包含作品主题、报送学校、团队师生姓名信息。</w:t>
      </w:r>
    </w:p>
    <w:p w14:paraId="3514C85C">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（4）微电影脚本制作标准</w:t>
      </w:r>
    </w:p>
    <w:p w14:paraId="111311EA">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微电影脚本要包含微电影主题、简介、对应的思政课有关章节或专题、分镜故事情节，篇幅不限。微电影脚本的主标题为黑体二号字，一级标题为黑体三号字，二级标题为楷体三号字，三级标题及以下、正文部分为仿宋三号字，全文行间距29磅，格式为“.PDF”。</w:t>
      </w:r>
    </w:p>
    <w:p w14:paraId="7609E3B9">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2.3手绘地图内容和形式</w:t>
      </w:r>
    </w:p>
    <w:p w14:paraId="3EA89370">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2.3.1手绘素材及配套教学资源说明</w:t>
      </w:r>
    </w:p>
    <w:p w14:paraId="28541373">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（1）手绘素材</w:t>
      </w:r>
    </w:p>
    <w:p w14:paraId="05476D4C">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手绘素材是对本地具有代表性的“大思政课”实践教学基地场馆外景、标识特征、典型故事、代表人物等进行手绘创作加工的原创绘画图案，不得简单以照片、模型、线稿代替。</w:t>
      </w:r>
    </w:p>
    <w:p w14:paraId="1B428040">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手绘素材应为带透明通道的PNG文件，图片规格不小于900*600像素，分辨率不低于300dpi，同时配套提交说明，根据手绘素材题材附设计说明，阐述作品设计理念。比如，以基地场馆型制为元素的，其文字介绍应包括场馆的历史由来、实践资源、实践建议等；以典型文物/人物为元素的，其文字介绍应包括文物/人物的主要情况，涉及的场馆、实践资源、实践建议等；以典型故事为元素的，其文字介绍应包括故事基本内容，涉及的场馆、实践资源、实践建议等。</w:t>
      </w:r>
    </w:p>
    <w:p w14:paraId="51386683">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（2）配套教学资源</w:t>
      </w:r>
    </w:p>
    <w:p w14:paraId="5CD0FEED">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每个手绘元素要配套相应的教学资源（含视频资源和文字资源）。</w:t>
      </w:r>
    </w:p>
    <w:p w14:paraId="48D98502">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视频资源应紧密结合基地资源禀赋，形成学生主讲的“场馆里的思政课”“田间地头的思政课”“行走的思政课”等高质量微电影、微纪录片、微专题片、微公开课等短视频，鼓励使用“习近平新时代中国特色社会主义思想大学习领航计划”参赛作品。</w:t>
      </w:r>
    </w:p>
    <w:p w14:paraId="0CD16375">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文字资源应由高校和基地专家团队联合开发，可供全国高校思政课教师在课堂教学参考使用的“新时代伟大变革”或“红色资源”教学案例，并注明对应适用的思政课课程、章节（专题）。</w:t>
      </w:r>
    </w:p>
    <w:p w14:paraId="3665920E">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2.3.2手绘素材及配套教学资源说明</w:t>
      </w:r>
    </w:p>
    <w:p w14:paraId="35056B04">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（1）视频资源</w:t>
      </w:r>
    </w:p>
    <w:p w14:paraId="523558BC">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视频类型及长度：微电影、微纪录片等短视频。建议竖屏拍摄，每条视频长度不超过3分钟。专题片或其他视频。建议横屏拍摄，总时长控制在10分钟以内。</w:t>
      </w:r>
    </w:p>
    <w:p w14:paraId="666C294E">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（2）规格及要求</w:t>
      </w:r>
    </w:p>
    <w:p w14:paraId="336E109A">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视频图像清晰、画面稳定，色调一致，白平衡正确无偏色，剪辑符合视觉逻辑。音频采用立体声、双声道。音画同步，无明显的杂音干扰以及音量忽大忽小情况；无爆音以及背景音乐过大情况。视频统一通过H.264编码，生成为MP4格式，最低码率不得低于1024Kbit/s，不高于2K，分辨率不低于1080P。单条3分钟以内的短视频不超过300M。音频采用AAC（MPEG4Part3）格式，采样率48KHz，音频码流率128Kbps（恒定）。</w:t>
      </w:r>
    </w:p>
    <w:p w14:paraId="6871BDD0">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视频添加字幕（非必需），应与视频同步封装，不单独提交字幕文件。文字字体、大小不作要求，无错字、漏字及乱码。</w:t>
      </w:r>
    </w:p>
    <w:p w14:paraId="7B4A7723">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（3）注意事项</w:t>
      </w:r>
    </w:p>
    <w:p w14:paraId="7AF2C7FB">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作品选用影视作品或音乐、图片以及自拍等相关素材，应符合国家相关版权法律法规，并注明素材来源，一般不选用地图类素材。涉及人物访谈内容时，应加注人物介绍。</w:t>
      </w:r>
    </w:p>
    <w:p w14:paraId="7F9EDB45">
      <w:pPr>
        <w:pStyle w:val="5"/>
        <w:widowControl/>
        <w:shd w:val="clear" w:color="auto" w:fill="FFFFFF"/>
        <w:wordWrap w:val="0"/>
        <w:spacing w:beforeAutospacing="0" w:afterAutospacing="0" w:line="570" w:lineRule="exact"/>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手绘地图设计标准</w:t>
      </w:r>
    </w:p>
    <w:p w14:paraId="35C45B5B">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2.3.3手绘地图设计标准</w:t>
      </w:r>
    </w:p>
    <w:p w14:paraId="1F81858F">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（1）总体要求</w:t>
      </w:r>
    </w:p>
    <w:p w14:paraId="33EC0EC7">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技术参数方面</w:t>
      </w:r>
      <w:r>
        <w:rPr>
          <w:rFonts w:hint="default" w:ascii="Times New Roman" w:hAnsi="Times New Roman" w:eastAsia="仿宋_GB2312" w:cs="Times New Roman"/>
          <w:sz w:val="32"/>
          <w:szCs w:val="32"/>
        </w:rPr>
        <w:t>。所有地图的底图应为通过国家地理信息公共服务平台（https://www.tianditu.gov.cn/）、标准地图服务网站（http://bzdt.ch.mnr.gov.cn/index.html）或各省自然资源厅网站获取的各省（区、市）标准地图，优先选择1:100万—1000万的小比例尺地图。所有地图及元素均应采取手绘方式，可以使用数字媒体技术进行辅助创作，但不得使用任何人工智能类图像生成工具。所有提交地图及元素应保留原始设计工程文件，以满足修改及出版要求。</w:t>
      </w:r>
    </w:p>
    <w:p w14:paraId="594F242A">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内容风格方面。</w:t>
      </w:r>
      <w:r>
        <w:rPr>
          <w:rFonts w:hint="default" w:ascii="Times New Roman" w:hAnsi="Times New Roman" w:eastAsia="仿宋_GB2312" w:cs="Times New Roman"/>
          <w:sz w:val="32"/>
          <w:szCs w:val="32"/>
        </w:rPr>
        <w:t>地图与元素创意要与基地的实践资源紧密相关，包括但不限于基地型制（标识）、典型文物、代表人物、典型故事、主题线路等。画风符合大学生受众需求，色彩搭配清新，体现年轻化。鼓励师生组队开展绘制，但总体应尊重学生原创风格，教师主要起指导把关作用。手绘创作不得含有违背党和国家政策法规要求、违法社会公序良俗的内容，不得侵犯第三方知识产权。</w:t>
      </w:r>
    </w:p>
    <w:p w14:paraId="3CF776C8">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（2）手绘地图设计要求</w:t>
      </w:r>
    </w:p>
    <w:p w14:paraId="05AD8757">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手绘地图（底图及路线图）应提交eps文件，分辨率为300dpi，同时配套提供简介（300字以内）及设计说明（包含设计主题、设计缘由等）。手绘地图成品应无邻区（不涉及周边国家、省域），绘制中涉及的地形地貌、交通道路等标志性元素，应在符合实际情况的基础上，通过手绘设计给予概要展示，但不要求一一吻合；地图视角可以采用鸟瞰视图，也可以采用2.5D视图，但2.5D视图不得改变比例尺和边界情况。手绘地图内如使用文字，要采用可以清晰识别的手写体或印刷体，不使用繁体字和异体字。鼓励在地图上设计预留打卡、集赞等具有社交功能属性的区域。</w:t>
      </w:r>
    </w:p>
    <w:p w14:paraId="2F2B4DB0">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手绘地图内应当展示所有经过社科司反馈入选的手绘素材，清晰展示手绘素材对应的教学基地、位置信息、简介等辅助信息，手绘素材地图位置应与实际经纬度基本对应，可以预留对应资源二维码位置（或用同等规格的方形黑白图标代替）。</w:t>
      </w:r>
    </w:p>
    <w:p w14:paraId="3C5DBC2A">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p>
    <w:p w14:paraId="7B365705">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（3）参考风格</w:t>
      </w:r>
    </w:p>
    <w:p w14:paraId="062EAD13">
      <w:pPr>
        <w:pStyle w:val="5"/>
        <w:widowControl/>
        <w:shd w:val="clear" w:color="auto" w:fill="FFFFFF"/>
        <w:wordWrap w:val="0"/>
        <w:spacing w:beforeAutospacing="0" w:afterAutospacing="0" w:line="57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可参考以下几类绘画风格，鼓励创作更多美观大方、符合地域特点的多种风格绘画。</w:t>
      </w:r>
    </w:p>
    <w:p w14:paraId="752939AB">
      <w:pPr>
        <w:wordWrap w:val="0"/>
        <w:spacing w:line="432" w:lineRule="auto"/>
        <w:rPr>
          <w:rFonts w:hint="default" w:ascii="Times New Roman" w:hAnsi="Times New Roman" w:cs="Times New Roman"/>
        </w:rPr>
      </w:pPr>
    </w:p>
    <w:p w14:paraId="3D67284B">
      <w:pPr>
        <w:wordWrap w:val="0"/>
        <w:spacing w:line="5911" w:lineRule="exact"/>
        <w:ind w:firstLine="14"/>
        <w:rPr>
          <w:rFonts w:hint="default" w:ascii="Times New Roman" w:hAnsi="Times New Roman" w:cs="Times New Roman"/>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2585720</wp:posOffset>
            </wp:positionH>
            <wp:positionV relativeFrom="paragraph">
              <wp:posOffset>-23495</wp:posOffset>
            </wp:positionV>
            <wp:extent cx="2654935" cy="3753485"/>
            <wp:effectExtent l="0" t="0" r="635" b="3175"/>
            <wp:wrapNone/>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1"/>
                    <a:stretch>
                      <a:fillRect/>
                    </a:stretch>
                  </pic:blipFill>
                  <pic:spPr>
                    <a:xfrm>
                      <a:off x="0" y="0"/>
                      <a:ext cx="2654808" cy="3753611"/>
                    </a:xfrm>
                    <a:prstGeom prst="rect">
                      <a:avLst/>
                    </a:prstGeom>
                  </pic:spPr>
                </pic:pic>
              </a:graphicData>
            </a:graphic>
          </wp:anchor>
        </w:drawing>
      </w:r>
      <w:r>
        <w:rPr>
          <w:rFonts w:hint="default" w:ascii="Times New Roman" w:hAnsi="Times New Roman" w:cs="Times New Roman"/>
          <w:position w:val="-118"/>
        </w:rPr>
        <w:drawing>
          <wp:inline distT="0" distB="0" distL="0" distR="0">
            <wp:extent cx="2570480" cy="3753485"/>
            <wp:effectExtent l="0" t="0" r="9525" b="3175"/>
            <wp:docPr id="6" name="IM 4"/>
            <wp:cNvGraphicFramePr/>
            <a:graphic xmlns:a="http://schemas.openxmlformats.org/drawingml/2006/main">
              <a:graphicData uri="http://schemas.openxmlformats.org/drawingml/2006/picture">
                <pic:pic xmlns:pic="http://schemas.openxmlformats.org/drawingml/2006/picture">
                  <pic:nvPicPr>
                    <pic:cNvPr id="6" name="IM 4"/>
                    <pic:cNvPicPr/>
                  </pic:nvPicPr>
                  <pic:blipFill>
                    <a:blip r:embed="rId12"/>
                    <a:stretch>
                      <a:fillRect/>
                    </a:stretch>
                  </pic:blipFill>
                  <pic:spPr>
                    <a:xfrm>
                      <a:off x="0" y="0"/>
                      <a:ext cx="2570988" cy="3753611"/>
                    </a:xfrm>
                    <a:prstGeom prst="rect">
                      <a:avLst/>
                    </a:prstGeom>
                  </pic:spPr>
                </pic:pic>
              </a:graphicData>
            </a:graphic>
          </wp:inline>
        </w:drawing>
      </w:r>
    </w:p>
    <w:p w14:paraId="0045B8D4">
      <w:pPr>
        <w:pStyle w:val="5"/>
        <w:widowControl/>
        <w:shd w:val="clear" w:color="auto" w:fill="FFFFFF"/>
        <w:wordWrap w:val="0"/>
        <w:spacing w:beforeAutospacing="0" w:afterAutospacing="0" w:line="570" w:lineRule="exact"/>
        <w:jc w:val="center"/>
        <w:rPr>
          <w:rFonts w:hint="default" w:ascii="Times New Roman" w:hAnsi="Times New Roman" w:eastAsia="仿宋_GB2312" w:cs="Times New Roman"/>
          <w:kern w:val="2"/>
          <w:sz w:val="32"/>
          <w:szCs w:val="32"/>
        </w:rPr>
      </w:pPr>
      <w:bookmarkStart w:id="42" w:name="_Toc26201"/>
      <w:bookmarkStart w:id="43" w:name="_Toc20897"/>
      <w:r>
        <w:rPr>
          <w:rFonts w:hint="default" w:ascii="Times New Roman" w:hAnsi="Times New Roman" w:eastAsia="仿宋_GB2312" w:cs="Times New Roman"/>
          <w:kern w:val="2"/>
          <w:sz w:val="32"/>
          <w:szCs w:val="32"/>
        </w:rPr>
        <w:t>扁平风格</w:t>
      </w:r>
      <w:bookmarkEnd w:id="42"/>
      <w:bookmarkEnd w:id="43"/>
    </w:p>
    <w:p w14:paraId="4DA5E88A">
      <w:pPr>
        <w:wordWrap w:val="0"/>
        <w:spacing w:before="17" w:line="2930" w:lineRule="exact"/>
        <w:ind w:firstLine="14"/>
        <w:rPr>
          <w:rFonts w:hint="default" w:ascii="Times New Roman" w:hAnsi="Times New Roman" w:eastAsia="仿宋_GB2312" w:cs="Times New Roman"/>
          <w:sz w:val="32"/>
          <w:szCs w:val="32"/>
        </w:rPr>
      </w:pPr>
      <w:r>
        <w:rPr>
          <w:rFonts w:hint="default" w:ascii="Times New Roman" w:hAnsi="Times New Roman" w:cs="Times New Roman"/>
          <w:position w:val="-58"/>
        </w:rPr>
        <w:drawing>
          <wp:inline distT="0" distB="0" distL="0" distR="0">
            <wp:extent cx="5269865" cy="1860550"/>
            <wp:effectExtent l="0" t="0" r="8890" b="6985"/>
            <wp:docPr id="7" name="IM 6"/>
            <wp:cNvGraphicFramePr/>
            <a:graphic xmlns:a="http://schemas.openxmlformats.org/drawingml/2006/main">
              <a:graphicData uri="http://schemas.openxmlformats.org/drawingml/2006/picture">
                <pic:pic xmlns:pic="http://schemas.openxmlformats.org/drawingml/2006/picture">
                  <pic:nvPicPr>
                    <pic:cNvPr id="7" name="IM 6"/>
                    <pic:cNvPicPr/>
                  </pic:nvPicPr>
                  <pic:blipFill>
                    <a:blip r:embed="rId13"/>
                    <a:stretch>
                      <a:fillRect/>
                    </a:stretch>
                  </pic:blipFill>
                  <pic:spPr>
                    <a:xfrm>
                      <a:off x="0" y="0"/>
                      <a:ext cx="5269991" cy="1860803"/>
                    </a:xfrm>
                    <a:prstGeom prst="rect">
                      <a:avLst/>
                    </a:prstGeom>
                  </pic:spPr>
                </pic:pic>
              </a:graphicData>
            </a:graphic>
          </wp:inline>
        </w:drawing>
      </w:r>
    </w:p>
    <w:p w14:paraId="2D48B1E2">
      <w:pPr>
        <w:pStyle w:val="5"/>
        <w:widowControl/>
        <w:shd w:val="clear" w:color="auto" w:fill="FFFFFF"/>
        <w:wordWrap w:val="0"/>
        <w:spacing w:beforeAutospacing="0" w:afterAutospacing="0" w:line="570" w:lineRule="exact"/>
        <w:jc w:val="center"/>
        <w:rPr>
          <w:rFonts w:hint="default" w:ascii="Times New Roman" w:hAnsi="Times New Roman" w:cs="Times New Roman"/>
        </w:rPr>
      </w:pPr>
      <w:bookmarkStart w:id="44" w:name="_Toc28"/>
      <w:r>
        <w:rPr>
          <w:rFonts w:hint="default" w:ascii="Times New Roman" w:hAnsi="Times New Roman" w:eastAsia="仿宋_GB2312" w:cs="Times New Roman"/>
          <w:sz w:val="32"/>
          <w:szCs w:val="32"/>
        </w:rPr>
        <w:t>卡通清新风格</w:t>
      </w:r>
      <w:bookmarkEnd w:id="44"/>
    </w:p>
    <w:p w14:paraId="7BABD6D6">
      <w:pPr>
        <w:wordWrap w:val="0"/>
        <w:spacing w:line="2930" w:lineRule="exact"/>
        <w:rPr>
          <w:rFonts w:hint="default" w:ascii="Times New Roman" w:hAnsi="Times New Roman" w:cs="Times New Roman"/>
          <w:position w:val="-81"/>
        </w:rPr>
      </w:pPr>
      <w:r>
        <w:rPr>
          <w:rFonts w:hint="default" w:ascii="Times New Roman" w:hAnsi="Times New Roman" w:cs="Times New Roman"/>
          <w:position w:val="-110"/>
        </w:rPr>
        <w:drawing>
          <wp:inline distT="0" distB="0" distL="0" distR="0">
            <wp:extent cx="2663825" cy="1927225"/>
            <wp:effectExtent l="0" t="0" r="2540" b="508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2663825" cy="1927225"/>
                    </a:xfrm>
                    <a:prstGeom prst="rect">
                      <a:avLst/>
                    </a:prstGeom>
                  </pic:spPr>
                </pic:pic>
              </a:graphicData>
            </a:graphic>
          </wp:inline>
        </w:drawing>
      </w:r>
      <w:r>
        <w:rPr>
          <w:rFonts w:hint="default" w:ascii="Times New Roman" w:hAnsi="Times New Roman" w:cs="Times New Roman"/>
          <w:position w:val="-81"/>
        </w:rPr>
        <w:drawing>
          <wp:inline distT="0" distB="0" distL="0" distR="0">
            <wp:extent cx="2593340" cy="1756410"/>
            <wp:effectExtent l="0" t="0" r="825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2593340" cy="1756410"/>
                    </a:xfrm>
                    <a:prstGeom prst="rect">
                      <a:avLst/>
                    </a:prstGeom>
                  </pic:spPr>
                </pic:pic>
              </a:graphicData>
            </a:graphic>
          </wp:inline>
        </w:drawing>
      </w:r>
    </w:p>
    <w:p w14:paraId="00A908CB">
      <w:pPr>
        <w:pStyle w:val="5"/>
        <w:widowControl/>
        <w:shd w:val="clear" w:color="auto" w:fill="FFFFFF"/>
        <w:wordWrap w:val="0"/>
        <w:spacing w:beforeAutospacing="0" w:afterAutospacing="0" w:line="570" w:lineRule="exact"/>
        <w:jc w:val="center"/>
        <w:rPr>
          <w:rFonts w:hint="default" w:ascii="Times New Roman" w:hAnsi="Times New Roman" w:eastAsia="仿宋_GB2312" w:cs="Times New Roman"/>
          <w:sz w:val="32"/>
          <w:szCs w:val="32"/>
        </w:rPr>
        <w:sectPr>
          <w:pgSz w:w="11906" w:h="16839"/>
          <w:pgMar w:top="1431" w:right="1785" w:bottom="1512" w:left="1785" w:header="0" w:footer="1201" w:gutter="0"/>
          <w:cols w:space="720" w:num="1"/>
        </w:sectPr>
      </w:pPr>
      <w:r>
        <w:rPr>
          <w:rFonts w:hint="default" w:ascii="Times New Roman" w:hAnsi="Times New Roman" w:eastAsia="仿宋_GB2312" w:cs="Times New Roman"/>
          <w:sz w:val="32"/>
          <w:szCs w:val="32"/>
        </w:rPr>
        <w:t>国风</w:t>
      </w:r>
    </w:p>
    <w:p w14:paraId="2A5698E0">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45" w:name="_Toc3839"/>
      <w:bookmarkStart w:id="46" w:name="_Toc803"/>
      <w:r>
        <w:rPr>
          <w:rFonts w:hint="default"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二</w:t>
      </w:r>
      <w:r>
        <w:rPr>
          <w:rFonts w:hint="default" w:ascii="Times New Roman" w:hAnsi="Times New Roman" w:eastAsia="楷体" w:cs="Times New Roman"/>
          <w:b/>
          <w:bCs/>
          <w:sz w:val="32"/>
          <w:szCs w:val="32"/>
        </w:rPr>
        <w:t>）网络文化节数字作品资源库</w:t>
      </w:r>
      <w:bookmarkEnd w:id="45"/>
      <w:bookmarkEnd w:id="46"/>
    </w:p>
    <w:p w14:paraId="6217FD31">
      <w:pPr>
        <w:wordWrap w:val="0"/>
        <w:spacing w:line="6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征集“全国大学生网络文化节”相关微视频、微电影、动漫、摄影、网文、公益广告、音频、校园歌曲、其他类网络创新作品等9类优秀作品，及“全国高校网络教育优秀作品推选展示活动”相关优秀网络文章、优秀工作案例、优秀微课、优秀新媒体作品等4类优秀作品重点宣传推广，推动广大师生积极参与网络文化作品创作生产，扩大高校网络文化影响力，不断强化守正创新，增强新时代高校思想政治工作的吸引力和实效性。</w:t>
      </w:r>
    </w:p>
    <w:p w14:paraId="4DEE1FEA">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2.申报要求</w:t>
      </w:r>
    </w:p>
    <w:p w14:paraId="4C444C5C">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2.1微视频作品</w:t>
      </w:r>
    </w:p>
    <w:p w14:paraId="41F48934">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作品要求：类型分为纪实纪录、卡通动漫、创新创意三类征集。文件格式为MP4，画面清晰，声音清楚，内容配字幕，时长不超过5分钟（超出时长将取消参评资格）。为保证作品上传顺畅，文件建议不超过600MB。</w:t>
      </w:r>
    </w:p>
    <w:p w14:paraId="354780EE">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2.2微电影作品</w:t>
      </w:r>
    </w:p>
    <w:p w14:paraId="518840DB">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类型分为剧情类和综合类（不含动漫），须为原创。文件为AVI、MOV、MP4格式的原始作品，分辨率不小于1920px×1080px。时长原则上在10分钟以内，适合互联网传播。要求画面清晰，声音清楚，提倡标注字幕。</w:t>
      </w:r>
    </w:p>
    <w:p w14:paraId="5F3AF2CA">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2.3动漫作品</w:t>
      </w:r>
    </w:p>
    <w:p w14:paraId="0AFF1CF2">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类型分为漫画作品和动画短片两类。漫画作品为四格漫画（以四个画面分格来完成一个小故事或一个创意的表现形式）或单幅插画，画稿为基于A4尺寸（210mm×297mm）纸张创作的作品，画稿四周保留各2cm空白，要求画面清晰、标明页数；基于计算机或移动设备的新媒体作品，应符合手机动漫行业标准等规范。提交电子图片格式要求为JPEG，色彩模式RGB，分辨率100DPI（作品入选后，需另外提交TIFF文件）。阅读顺序可根据个人习惯选择从左到右或从右到左，需要在作品首页注明。动画短片须为AVI、MOV、MP4格式的原始作品，分辨率不小于1920px×1080px，时长原则上在10分钟以内。</w:t>
      </w:r>
    </w:p>
    <w:p w14:paraId="19C4731E">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2.4摄影作品</w:t>
      </w:r>
    </w:p>
    <w:p w14:paraId="208D09AB">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作品要求：按时代风貌、校园风采、社会纪实、创意摄影4个类别征集，单张或系列作品均可。系列作品视为1件作品，不超过6张。以图片文件提交，格式为JPEG，保留EXIF信息。</w:t>
      </w:r>
    </w:p>
    <w:p w14:paraId="576928D7">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2.5网文作品</w:t>
      </w:r>
    </w:p>
    <w:p w14:paraId="0B0E4B75">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作品要求：从青春梦想、时事评论、艺术文化、社会实践等角度，作品类别分为网络文章和网络文学作品。字数不超过5000字，可在文章中配图、表。</w:t>
      </w:r>
    </w:p>
    <w:p w14:paraId="7773C249">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2.6公益广告作品</w:t>
      </w:r>
    </w:p>
    <w:p w14:paraId="32C284F6">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类型分为平面广告和视频广告两类，要求内容导向鲜明、富有内涵、鼓舞人心。平面广告含报纸杂志广告、海报设计、漫画等，提交图片文件，格式为JPEG，色彩模式RGB，单幅图片大小在10M以内，系列作品不超过3幅。视频广告含微视频、微电影、动画片等，提交视频文件，格式为MP4，画面清晰，声音清楚，重点内容配字幕，时长小于5分钟，文件小于200M。</w:t>
      </w:r>
    </w:p>
    <w:p w14:paraId="569B93B1">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2.7音频作品</w:t>
      </w:r>
    </w:p>
    <w:p w14:paraId="2FA4CCBC">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作品要求：体裁不限，诗词、散文、故事等音频诵读作品或创意音频节目均可（不包含歌曲），鼓励原创。作品统一采用MP3格式，时长不超过5分钟（超过时长将取消参评资格），另须以Word形式提交音频文字。</w:t>
      </w:r>
    </w:p>
    <w:p w14:paraId="6F950260">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2.8校园歌曲作品</w:t>
      </w:r>
    </w:p>
    <w:p w14:paraId="1736DFAD">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类型分为原创歌曲和改编歌曲两类。原创歌曲指完全自主作词作曲的音乐作品，或借鉴部分（不超过八小节）现成作品的音乐元素创作的音乐作品；改编歌曲指在某歌曲作品首发表演形式的基础上进行改编和创新的二度创作作品。所有作品可制作成微视频展示，利用互联网音乐或微视频平台增加网络人气，扩大影响力（详见易班网说明）。其中，原创歌曲要在易班网上传完整的音频或视频、歌词和曲谱。</w:t>
      </w:r>
    </w:p>
    <w:p w14:paraId="5B536A73">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方正仿宋_GB2312" w:cs="Times New Roman"/>
          <w:b/>
          <w:bCs/>
          <w:kern w:val="2"/>
          <w:sz w:val="32"/>
          <w:szCs w:val="32"/>
        </w:rPr>
      </w:pPr>
      <w:r>
        <w:rPr>
          <w:rFonts w:hint="default" w:ascii="Times New Roman" w:hAnsi="Times New Roman" w:eastAsia="方正仿宋_GB2312" w:cs="Times New Roman"/>
          <w:b/>
          <w:bCs/>
          <w:kern w:val="2"/>
          <w:sz w:val="32"/>
          <w:szCs w:val="32"/>
        </w:rPr>
        <w:t>2.9其他类网络创新作品</w:t>
      </w:r>
    </w:p>
    <w:p w14:paraId="66534086">
      <w:pPr>
        <w:wordWrap w:val="0"/>
        <w:spacing w:line="660" w:lineRule="exact"/>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作品要求：类型分为长图、H5页面、微信推文三类。作品提交图片文件，格式为JPEG，文件小于10MB。</w:t>
      </w:r>
    </w:p>
    <w:p w14:paraId="78052B30">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47" w:name="_Toc4319"/>
      <w:bookmarkStart w:id="48" w:name="_Toc17767"/>
      <w:r>
        <w:rPr>
          <w:rFonts w:hint="default"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三</w:t>
      </w:r>
      <w:r>
        <w:rPr>
          <w:rFonts w:hint="default" w:ascii="Times New Roman" w:hAnsi="Times New Roman" w:eastAsia="楷体" w:cs="Times New Roman"/>
          <w:b/>
          <w:bCs/>
          <w:sz w:val="32"/>
          <w:szCs w:val="32"/>
        </w:rPr>
        <w:t>）</w:t>
      </w:r>
      <w:bookmarkEnd w:id="47"/>
      <w:bookmarkEnd w:id="48"/>
      <w:r>
        <w:rPr>
          <w:rFonts w:hint="default" w:ascii="Times New Roman" w:hAnsi="Times New Roman" w:eastAsia="楷体" w:cs="Times New Roman"/>
          <w:b/>
          <w:bCs/>
          <w:sz w:val="32"/>
          <w:szCs w:val="32"/>
        </w:rPr>
        <w:t>全媒体数字平台资源库</w:t>
      </w:r>
    </w:p>
    <w:p w14:paraId="3A2389B6">
      <w:pPr>
        <w:wordWrap w:val="0"/>
        <w:spacing w:line="6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rPr>
        <w:t>经过学校备案审查的二级学院、机关部处所属的微信平台账号及原创推文、原创短视频中重点培育一批思政引领力强、传播范围广、内容质量高、表现方法创新，能切实增强思政教育工作的时代感和实效感的优秀高校思政类公众号，推动高校公众号成为思政教育有效载体，不断拓展网络育人的空间和阵地。</w:t>
      </w:r>
    </w:p>
    <w:p w14:paraId="1BCCB0EF">
      <w:pPr>
        <w:wordWrap w:val="0"/>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bCs/>
          <w:sz w:val="32"/>
          <w:szCs w:val="32"/>
        </w:rPr>
        <w:t>2.申报要求：</w:t>
      </w:r>
      <w:r>
        <w:rPr>
          <w:rFonts w:hint="default" w:ascii="Times New Roman" w:hAnsi="Times New Roman" w:eastAsia="仿宋_GB2312" w:cs="Times New Roman"/>
          <w:sz w:val="32"/>
          <w:szCs w:val="32"/>
          <w:shd w:val="clear" w:color="auto" w:fill="FFFFFF"/>
        </w:rPr>
        <w:t>充分报道本单位的思政课程、课程思政、日常思政的工作经验、做法和创新方法手段，切实提高传播力、引导力、影响力、公信力。能打造形式新颖、参与广泛的网络思政品牌项目和通俗易懂、广受欢迎的新媒体产品，能充分体现高校思想政治工作传统优势与信息技术高度融合的成果，以网络思政的创新发展推动本单位的思想政治工作走深走实。</w:t>
      </w:r>
    </w:p>
    <w:p w14:paraId="094062FF">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lang w:eastAsia="zh-CN"/>
        </w:rPr>
      </w:pPr>
      <w:bookmarkStart w:id="49" w:name="_Toc12579"/>
      <w:r>
        <w:rPr>
          <w:rFonts w:hint="default" w:ascii="Times New Roman" w:hAnsi="Times New Roman" w:eastAsia="楷体" w:cs="Times New Roman"/>
          <w:b/>
          <w:bCs/>
          <w:sz w:val="32"/>
          <w:szCs w:val="32"/>
          <w:lang w:eastAsia="zh-CN"/>
        </w:rPr>
        <w:t>（</w:t>
      </w:r>
      <w:r>
        <w:rPr>
          <w:rFonts w:hint="eastAsia" w:ascii="Times New Roman" w:hAnsi="Times New Roman" w:eastAsia="楷体" w:cs="Times New Roman"/>
          <w:b/>
          <w:bCs/>
          <w:sz w:val="32"/>
          <w:szCs w:val="32"/>
          <w:lang w:val="en-US" w:eastAsia="zh-CN"/>
        </w:rPr>
        <w:t>四</w:t>
      </w:r>
      <w:r>
        <w:rPr>
          <w:rFonts w:hint="default" w:ascii="Times New Roman" w:hAnsi="Times New Roman" w:eastAsia="楷体" w:cs="Times New Roman"/>
          <w:b/>
          <w:bCs/>
          <w:sz w:val="32"/>
          <w:szCs w:val="32"/>
          <w:lang w:eastAsia="zh-CN"/>
        </w:rPr>
        <w:t>）以革命文物为主题的“大思政课”优质资源建设推广</w:t>
      </w:r>
      <w:bookmarkEnd w:id="49"/>
    </w:p>
    <w:p w14:paraId="743B87CF">
      <w:pPr>
        <w:wordWrap w:val="0"/>
        <w:ind w:firstLine="643" w:firstLineChars="200"/>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b/>
          <w:bCs/>
          <w:sz w:val="32"/>
          <w:szCs w:val="32"/>
        </w:rPr>
        <w:t>1.建设说明：</w:t>
      </w:r>
      <w:r>
        <w:rPr>
          <w:rFonts w:hint="default" w:ascii="Times New Roman" w:hAnsi="Times New Roman" w:eastAsia="仿宋_GB2312" w:cs="Times New Roman"/>
          <w:sz w:val="32"/>
          <w:szCs w:val="32"/>
          <w:shd w:val="clear" w:color="auto" w:fill="FFFFFF"/>
          <w:lang w:eastAsia="zh-CN"/>
        </w:rPr>
        <w:t>为深入贯彻习近平新时代中国特色社会主义思想，贯彻落实习近平总书记关于革命文物、思政教育工作重要指示批示精神，推动革命文物资源与大中小学思政教育一体化建设融合发展，</w:t>
      </w:r>
      <w:r>
        <w:rPr>
          <w:rFonts w:hint="default" w:ascii="Times New Roman" w:hAnsi="Times New Roman" w:eastAsia="仿宋_GB2312" w:cs="Times New Roman"/>
          <w:sz w:val="32"/>
          <w:szCs w:val="32"/>
          <w:shd w:val="clear" w:color="auto" w:fill="FFFFFF"/>
          <w:lang w:val="en-US" w:eastAsia="zh-CN"/>
        </w:rPr>
        <w:t>推广总共分为6类。纪念馆、博物馆、学校是优质资源建设的主体，要围绕革命文物、红色资源融入“大思政课”进行策划设计、落地实施，着力打造方向正、视野广、格局大、队伍强、内容新、形式活、效果好的“大思政课”。要加强政治引领和组织保障，把握正确政治方向，聚焦立德树人根本任务，形成工作合力，教育引导广大青少年自觉用中华优秀传统文化、革命文化、社会主义先进文化培根铸魂、启智润心，让红色基因、革命薪火代代相传。</w:t>
      </w:r>
    </w:p>
    <w:p w14:paraId="149E6252">
      <w:pPr>
        <w:wordWrap w:val="0"/>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2.申报要求：</w:t>
      </w:r>
    </w:p>
    <w:p w14:paraId="5656ECB6">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2.1现场教学类</w:t>
      </w:r>
    </w:p>
    <w:p w14:paraId="2DE1E82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纪念馆、博物馆与大中小学校“结对子”，围绕重大事件、重大活动、重要节日以及学校思政课教学内容，发挥资源优势，强化分众教育，精心设计主题，通过故事化表达、场景化呈现，打造“纪念馆里的思政课”“行走的思政课”“主题游径上的思政课”，切实增强不同学段学生的体验式、情境式教学效果。</w:t>
      </w:r>
    </w:p>
    <w:p w14:paraId="38C6A40D">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2.2教学设计类</w:t>
      </w:r>
    </w:p>
    <w:p w14:paraId="62F7E04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纪念馆、博物馆与大中小学校深入挖掘革命文物、红色资源蕴含的思想内涵和时代价值，以“小切口”诠释“大道理”，把革命文物、红色资源禀赋创造性转化为学校思政课教育教学的优质资源，把课堂教学与实践教学有机结合起来，推出的具有代表性的沉浸式、体验式、情境式、案例式、研讨式思政课程教学项目。</w:t>
      </w:r>
    </w:p>
    <w:p w14:paraId="1782EBB0">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2.3校园文化类</w:t>
      </w:r>
    </w:p>
    <w:p w14:paraId="47B1213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纪念馆、博物馆与大中小学校遵循学校思政工作、教书育人和学生成长规律，推进革命文物、红色资源融入校园文化塑造，共同策划举办的走进校园、贴近师生的主题巡展、宣传宣讲、文艺展演、知识竞赛、专题学习及微党课等。</w:t>
      </w:r>
    </w:p>
    <w:p w14:paraId="4092948D">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2.4数字传播类</w:t>
      </w:r>
    </w:p>
    <w:p w14:paraId="2B9552D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结合国家智慧教育平台、全国高校思政课教研系统建设需求，以社会主义核心价值观为引领，推出的富有正能量、感染力、传播力的音视频、微电影、云展览、云直播等网络创新作品，以及AI交互、AR/VR互动体验、人工智能、虚拟仿真课堂等新技术应用案例。</w:t>
      </w:r>
    </w:p>
    <w:p w14:paraId="01312C1B">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2.5读本读物类</w:t>
      </w:r>
    </w:p>
    <w:p w14:paraId="6E672C8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纪念馆、博物馆与大中小学校开展协同研究，推进革命文物、红色资源融入思政教育理论与实践研究，结合思政教育内容，转化制作有温度、有高度、有深度的小故事，组织编写的教辅读本、精品读物等。</w:t>
      </w:r>
    </w:p>
    <w:p w14:paraId="0D3F4BE1">
      <w:pPr>
        <w:pStyle w:val="5"/>
        <w:widowControl/>
        <w:shd w:val="clear" w:color="auto" w:fill="FFFFFF"/>
        <w:wordWrap w:val="0"/>
        <w:spacing w:beforeAutospacing="0" w:afterAutospacing="0" w:line="570" w:lineRule="exact"/>
        <w:ind w:firstLine="643" w:firstLineChars="200"/>
        <w:jc w:val="both"/>
        <w:rPr>
          <w:rFonts w:hint="default" w:ascii="Times New Roman" w:hAnsi="Times New Roman" w:eastAsia="楷体_GB2312" w:cs="Times New Roman"/>
          <w:b/>
          <w:bCs/>
          <w:kern w:val="2"/>
          <w:sz w:val="32"/>
          <w:szCs w:val="32"/>
          <w:lang w:val="en-US" w:eastAsia="zh-CN"/>
        </w:rPr>
      </w:pPr>
      <w:r>
        <w:rPr>
          <w:rFonts w:hint="default" w:ascii="Times New Roman" w:hAnsi="Times New Roman" w:eastAsia="楷体_GB2312" w:cs="Times New Roman"/>
          <w:b/>
          <w:bCs/>
          <w:kern w:val="2"/>
          <w:sz w:val="32"/>
          <w:szCs w:val="32"/>
          <w:lang w:val="en-US" w:eastAsia="zh-CN"/>
        </w:rPr>
        <w:t>2.6其他类</w:t>
      </w:r>
    </w:p>
    <w:p w14:paraId="157E8AF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学校建立健全思政课特聘教授、兼职教师制度，邀请纪念馆、博物馆专家学者担任思政课兼职教师，常态化走进校园参与思政课教学的代表性案例。纪念馆、博物馆为学校师生提供培训研习、联合科研、志愿服务、实习实践平台，支持学校师生参与主题展览和宣教活动；以及体现“开门办思政课”的机制创新、队伍建设、制度保障、社会参与等方面的代表性案例。</w:t>
      </w:r>
    </w:p>
    <w:p w14:paraId="0CA1DC8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7" w:lineRule="atLeast"/>
        <w:ind w:left="0" w:right="0" w:firstLine="420"/>
        <w:jc w:val="left"/>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其他符合条件的优秀成果也可报送。</w:t>
      </w:r>
    </w:p>
    <w:p w14:paraId="5203DD35">
      <w:pPr>
        <w:keepNext w:val="0"/>
        <w:keepLines w:val="0"/>
        <w:pageBreakBefore w:val="0"/>
        <w:kinsoku/>
        <w:wordWrap w:val="0"/>
        <w:autoSpaceDE/>
        <w:autoSpaceDN/>
        <w:bidi w:val="0"/>
        <w:adjustRightInd/>
        <w:snapToGrid/>
        <w:spacing w:line="560" w:lineRule="exact"/>
        <w:ind w:left="0" w:leftChars="0" w:firstLine="643" w:firstLineChars="200"/>
        <w:textAlignment w:val="auto"/>
        <w:outlineLvl w:val="1"/>
        <w:rPr>
          <w:rFonts w:hint="default" w:ascii="Times New Roman" w:hAnsi="Times New Roman" w:eastAsia="楷体" w:cs="Times New Roman"/>
          <w:b/>
          <w:bCs/>
          <w:sz w:val="32"/>
          <w:szCs w:val="32"/>
        </w:rPr>
      </w:pPr>
      <w:bookmarkStart w:id="50" w:name="_Toc789293306"/>
      <w:bookmarkStart w:id="51" w:name="_Toc17733"/>
      <w:r>
        <w:rPr>
          <w:rFonts w:hint="default" w:ascii="Times New Roman" w:hAnsi="Times New Roman" w:eastAsia="楷体" w:cs="Times New Roman"/>
          <w:b/>
          <w:bCs/>
          <w:sz w:val="32"/>
          <w:szCs w:val="32"/>
        </w:rPr>
        <w:t>（</w:t>
      </w:r>
      <w:r>
        <w:rPr>
          <w:rFonts w:hint="eastAsia" w:ascii="Times New Roman" w:hAnsi="Times New Roman" w:eastAsia="楷体" w:cs="Times New Roman"/>
          <w:b/>
          <w:bCs/>
          <w:sz w:val="32"/>
          <w:szCs w:val="32"/>
          <w:lang w:val="en-US" w:eastAsia="zh-CN"/>
        </w:rPr>
        <w:t>五</w:t>
      </w:r>
      <w:r>
        <w:rPr>
          <w:rFonts w:hint="default" w:ascii="Times New Roman" w:hAnsi="Times New Roman" w:eastAsia="楷体" w:cs="Times New Roman"/>
          <w:b/>
          <w:bCs/>
          <w:sz w:val="32"/>
          <w:szCs w:val="32"/>
        </w:rPr>
        <w:t>）礼敬中华优秀传统文化数字资源库</w:t>
      </w:r>
      <w:bookmarkEnd w:id="50"/>
      <w:bookmarkEnd w:id="51"/>
    </w:p>
    <w:p w14:paraId="5C580D55">
      <w:pPr>
        <w:keepNext w:val="0"/>
        <w:keepLines w:val="0"/>
        <w:pageBreakBefore w:val="0"/>
        <w:kinsoku/>
        <w:wordWrap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1.建设要求：</w:t>
      </w:r>
      <w:r>
        <w:rPr>
          <w:rFonts w:hint="default" w:ascii="Times New Roman" w:hAnsi="Times New Roman" w:eastAsia="仿宋_GB2312" w:cs="Times New Roman"/>
          <w:sz w:val="32"/>
          <w:szCs w:val="32"/>
        </w:rPr>
        <w:t>深入贯彻落实党的二十大精神和习近平文化思想，大力培育和践行社会主义核心价值观，组织引导广大师生全面深入了解中华文明的历史，以社会主义核心价值观为引领，坚定文化自信，坚持守正创新，着力赓续中华文脉，发展社会主义先进文化，弘扬革命文化，推动中华优秀传统文化创造性转化和创新性发展，更好担负起推动文化繁荣、建设文化强国、建设中华民族现代文明这一新的文化使命。</w:t>
      </w:r>
    </w:p>
    <w:p w14:paraId="5CEBEA23">
      <w:pPr>
        <w:pStyle w:val="5"/>
        <w:keepNext w:val="0"/>
        <w:keepLines w:val="0"/>
        <w:pageBreakBefore w:val="0"/>
        <w:widowControl/>
        <w:shd w:val="clear" w:color="auto" w:fill="FFFFFF"/>
        <w:kinsoku/>
        <w:wordWrap w:val="0"/>
        <w:autoSpaceDE/>
        <w:autoSpaceDN/>
        <w:bidi w:val="0"/>
        <w:adjustRightInd/>
        <w:snapToGrid/>
        <w:spacing w:beforeAutospacing="0" w:afterAutospacing="0" w:line="560" w:lineRule="exact"/>
        <w:ind w:left="0" w:leftChars="0" w:firstLine="643" w:firstLineChars="200"/>
        <w:jc w:val="both"/>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2.作品要求</w:t>
      </w:r>
    </w:p>
    <w:p w14:paraId="39E47F35">
      <w:pPr>
        <w:keepNext w:val="0"/>
        <w:keepLines w:val="0"/>
        <w:pageBreakBefore w:val="0"/>
        <w:kinsoku/>
        <w:wordWrap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bCs/>
          <w:sz w:val="32"/>
          <w:szCs w:val="32"/>
          <w:lang w:val="en-US" w:eastAsia="zh-CN"/>
        </w:rPr>
        <w:t>礼敬中华数字微展览</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围绕“何以中华-中华文明精神溯源”“美美与共-构建人类命运共同体”两大方向，结合文博数字展厅建设和数字文物开发，</w:t>
      </w:r>
      <w:r>
        <w:rPr>
          <w:rFonts w:hint="default" w:ascii="Times New Roman" w:hAnsi="Times New Roman" w:eastAsia="仿宋_GB2312" w:cs="Times New Roman"/>
          <w:sz w:val="32"/>
          <w:szCs w:val="32"/>
          <w:lang w:val="en-US" w:eastAsia="zh-CN"/>
        </w:rPr>
        <w:t>AI赋能，</w:t>
      </w:r>
      <w:r>
        <w:rPr>
          <w:rFonts w:hint="default" w:ascii="Times New Roman" w:hAnsi="Times New Roman" w:eastAsia="仿宋_GB2312" w:cs="Times New Roman"/>
          <w:sz w:val="32"/>
          <w:szCs w:val="32"/>
        </w:rPr>
        <w:t>设计策划数字微展览。依托全国高校博物馆育人联盟，遴选优秀微展览作品，组织建设科技、文化、创意融合的数字展览联展。</w:t>
      </w:r>
    </w:p>
    <w:p w14:paraId="49056C92">
      <w:pPr>
        <w:keepNext w:val="0"/>
        <w:keepLines w:val="0"/>
        <w:pageBreakBefore w:val="0"/>
        <w:kinsoku/>
        <w:wordWrap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eastAsia="zh-CN"/>
        </w:rPr>
        <w:t>（2）</w:t>
      </w:r>
      <w:r>
        <w:rPr>
          <w:rFonts w:hint="default" w:ascii="Times New Roman" w:hAnsi="Times New Roman" w:eastAsia="仿宋_GB2312" w:cs="Times New Roman"/>
          <w:b/>
          <w:bCs/>
          <w:sz w:val="32"/>
          <w:szCs w:val="32"/>
          <w:lang w:val="en-US" w:eastAsia="zh-CN"/>
        </w:rPr>
        <w:t>礼敬中华工作案例。</w:t>
      </w:r>
      <w:r>
        <w:rPr>
          <w:rFonts w:hint="default" w:ascii="Times New Roman" w:hAnsi="Times New Roman" w:eastAsia="仿宋_GB2312" w:cs="Times New Roman"/>
          <w:sz w:val="32"/>
          <w:szCs w:val="32"/>
        </w:rPr>
        <w:t>组织高校围绕弘扬革命文化、传承红色基因、以红色文化培育时代新人，形成工作案例和短视频作品。经过专家推荐汇编成案例集，展示新时代高校以创新形式开展红色教育，激发高校师生担当作为、投身强国建设的创新做法和工作实效。</w:t>
      </w:r>
    </w:p>
    <w:p w14:paraId="1B601A99">
      <w:pPr>
        <w:keepNext w:val="0"/>
        <w:keepLines w:val="0"/>
        <w:pageBreakBefore w:val="0"/>
        <w:kinsoku/>
        <w:wordWrap w:val="0"/>
        <w:autoSpaceDE/>
        <w:autoSpaceDN/>
        <w:bidi w:val="0"/>
        <w:adjustRightInd/>
        <w:snapToGrid/>
        <w:spacing w:line="560" w:lineRule="exact"/>
        <w:ind w:left="0" w:leftChars="0" w:firstLine="643" w:firstLineChars="200"/>
        <w:textAlignment w:val="auto"/>
        <w:rPr>
          <w:rFonts w:hint="eastAsia" w:ascii="Times New Roman" w:hAnsi="Times New Roman" w:eastAsia="仿宋_GB2312" w:cs="Times New Roman"/>
          <w:kern w:val="2"/>
          <w:sz w:val="32"/>
          <w:szCs w:val="32"/>
          <w:shd w:val="clear" w:color="auto" w:fill="FFFFFF"/>
          <w:lang w:val="en-US" w:eastAsia="zh-CN" w:bidi="ar-SA"/>
        </w:rPr>
        <w:sectPr>
          <w:footerReference r:id="rId6" w:type="default"/>
          <w:pgSz w:w="11906" w:h="16838"/>
          <w:pgMar w:top="1440" w:right="1803" w:bottom="1440" w:left="1803" w:header="851" w:footer="992" w:gutter="0"/>
          <w:cols w:space="425" w:num="1"/>
          <w:docGrid w:type="lines" w:linePitch="312" w:charSpace="0"/>
        </w:sectPr>
      </w:pPr>
      <w:r>
        <w:rPr>
          <w:rFonts w:hint="default" w:ascii="Times New Roman" w:hAnsi="Times New Roman" w:eastAsia="仿宋_GB2312" w:cs="Times New Roman"/>
          <w:b/>
          <w:bCs/>
          <w:sz w:val="32"/>
          <w:szCs w:val="32"/>
          <w:lang w:eastAsia="zh-CN"/>
        </w:rPr>
        <w:t>（3）</w:t>
      </w:r>
      <w:r>
        <w:rPr>
          <w:rFonts w:hint="default" w:ascii="Times New Roman" w:hAnsi="Times New Roman" w:eastAsia="仿宋_GB2312" w:cs="Times New Roman"/>
          <w:b/>
          <w:bCs/>
          <w:sz w:val="32"/>
          <w:szCs w:val="32"/>
          <w:lang w:val="en-US" w:eastAsia="zh-CN"/>
        </w:rPr>
        <w:t>礼敬中华视频微课。</w:t>
      </w:r>
      <w:r>
        <w:rPr>
          <w:rFonts w:hint="default" w:ascii="Times New Roman" w:hAnsi="Times New Roman" w:eastAsia="仿宋_GB2312" w:cs="Times New Roman"/>
          <w:sz w:val="32"/>
          <w:szCs w:val="32"/>
        </w:rPr>
        <w:t>组织高校干部师生充分挖掘传统音乐、传统舞蹈、传统戏剧、民间美术、民俗、传统工艺等非物质文化遗产资源，用视频形式展示师生非遗创作或展演等内容，引导干部师生感受非遗魅力、学习非遗技能、传承非遗文化</w:t>
      </w:r>
      <w:r>
        <w:rPr>
          <w:rFonts w:hint="eastAsia" w:ascii="Times New Roman" w:hAnsi="Times New Roman" w:eastAsia="仿宋_GB2312" w:cs="Times New Roman"/>
          <w:sz w:val="32"/>
          <w:szCs w:val="32"/>
          <w:lang w:eastAsia="zh-CN"/>
        </w:rPr>
        <w:t>。</w:t>
      </w:r>
    </w:p>
    <w:p w14:paraId="47C886AA">
      <w:pPr>
        <w:rPr>
          <w:rFonts w:hint="default" w:ascii="Times New Roman" w:hAnsi="Times New Roman" w:cs="Times New Roman"/>
          <w:kern w:val="0"/>
        </w:rPr>
      </w:pPr>
    </w:p>
    <w:sectPr>
      <w:headerReference r:id="rId7" w:type="default"/>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4041B4-E0EC-4824-9B20-A381D45072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2" w:fontKey="{6AEEFD7C-C5E5-4637-96C4-0DEADC5BF150}"/>
  </w:font>
  <w:font w:name="仿宋_GB2312">
    <w:panose1 w:val="02010609030101010101"/>
    <w:charset w:val="86"/>
    <w:family w:val="modern"/>
    <w:pitch w:val="default"/>
    <w:sig w:usb0="00000001" w:usb1="080E0000" w:usb2="00000000" w:usb3="00000000" w:csb0="00040000" w:csb1="00000000"/>
    <w:embedRegular r:id="rId3" w:fontKey="{BBC90C44-AE87-4BBA-B39B-333BEFAC0F02}"/>
  </w:font>
  <w:font w:name="微软雅黑">
    <w:panose1 w:val="020B0503020204020204"/>
    <w:charset w:val="86"/>
    <w:family w:val="swiss"/>
    <w:pitch w:val="default"/>
    <w:sig w:usb0="80000287" w:usb1="2ACF3C50" w:usb2="00000016" w:usb3="00000000" w:csb0="0004001F" w:csb1="00000000"/>
    <w:embedRegular r:id="rId4" w:fontKey="{62EDD5EB-560D-48FF-A2DE-BB5753B6100C}"/>
  </w:font>
  <w:font w:name="Microsoft Himalaya">
    <w:panose1 w:val="01010100010101010101"/>
    <w:charset w:val="00"/>
    <w:family w:val="auto"/>
    <w:pitch w:val="default"/>
    <w:sig w:usb0="80000003" w:usb1="00010000" w:usb2="00000040" w:usb3="00000000" w:csb0="0000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AED2D2FD-1B80-4F33-921F-D4DC57E51D5D}"/>
  </w:font>
  <w:font w:name="方正仿宋_GB2312">
    <w:panose1 w:val="02000000000000000000"/>
    <w:charset w:val="86"/>
    <w:family w:val="auto"/>
    <w:pitch w:val="default"/>
    <w:sig w:usb0="A00002BF" w:usb1="184F6CFA" w:usb2="00000012" w:usb3="00000000" w:csb0="00040001" w:csb1="00000000"/>
    <w:embedRegular r:id="rId6" w:fontKey="{4FD7B229-8FD9-4505-B0C0-8A369D641641}"/>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4B865">
    <w:pPr>
      <w:spacing w:before="1" w:line="231" w:lineRule="auto"/>
      <w:ind w:left="3753"/>
      <w:rPr>
        <w:rFonts w:hint="eastAsia" w:ascii="宋体" w:hAnsi="宋体" w:eastAsia="宋体" w:cs="宋体"/>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391B1">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67391B1">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9980083"/>
      <w:docPartObj>
        <w:docPartGallery w:val="autotext"/>
      </w:docPartObj>
    </w:sdtPr>
    <w:sdtContent>
      <w:p w14:paraId="2A4C1C8E">
        <w:pPr>
          <w:pStyle w:val="9"/>
          <w:jc w:val="center"/>
        </w:pPr>
        <w:r>
          <w:fldChar w:fldCharType="begin"/>
        </w:r>
        <w:r>
          <w:instrText xml:space="preserve">PAGE   \* MERGEFORMAT</w:instrText>
        </w:r>
        <w:r>
          <w:fldChar w:fldCharType="separate"/>
        </w:r>
        <w:r>
          <w:rPr>
            <w:lang w:val="zh-CN"/>
          </w:rPr>
          <w:t>2</w:t>
        </w:r>
        <w:r>
          <w:fldChar w:fldCharType="end"/>
        </w:r>
      </w:p>
    </w:sdtContent>
  </w:sdt>
  <w:p w14:paraId="1AA469C8">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EFD9">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30C52">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6630C52">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831942"/>
      <w:docPartObj>
        <w:docPartGallery w:val="autotext"/>
      </w:docPartObj>
    </w:sdtPr>
    <w:sdtContent>
      <w:p w14:paraId="01D21CB6">
        <w:pPr>
          <w:pStyle w:val="9"/>
          <w:jc w:val="center"/>
        </w:pPr>
        <w:r>
          <w:fldChar w:fldCharType="begin"/>
        </w:r>
        <w:r>
          <w:instrText xml:space="preserve">PAGE   \* MERGEFORMAT</w:instrText>
        </w:r>
        <w:r>
          <w:fldChar w:fldCharType="separate"/>
        </w:r>
        <w:r>
          <w:rPr>
            <w:lang w:val="zh-CN"/>
          </w:rPr>
          <w:t>2</w:t>
        </w:r>
        <w:r>
          <w:fldChar w:fldCharType="end"/>
        </w:r>
      </w:p>
    </w:sdtContent>
  </w:sdt>
  <w:p w14:paraId="65A47E97">
    <w:pPr>
      <w:pStyle w:val="9"/>
      <w:jc w:val="center"/>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D25CB">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02CB4">
    <w:pPr>
      <w:pStyle w:val="10"/>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B51EC9"/>
    <w:rsid w:val="00076E50"/>
    <w:rsid w:val="002317A0"/>
    <w:rsid w:val="00393F35"/>
    <w:rsid w:val="005C4A25"/>
    <w:rsid w:val="006E7950"/>
    <w:rsid w:val="00714E2C"/>
    <w:rsid w:val="007240F7"/>
    <w:rsid w:val="00757C74"/>
    <w:rsid w:val="00812101"/>
    <w:rsid w:val="0088012D"/>
    <w:rsid w:val="009D5E63"/>
    <w:rsid w:val="00A35F5F"/>
    <w:rsid w:val="00B1753B"/>
    <w:rsid w:val="00BA5D41"/>
    <w:rsid w:val="00D12C0B"/>
    <w:rsid w:val="00DA04EF"/>
    <w:rsid w:val="00DE4043"/>
    <w:rsid w:val="00E56C9C"/>
    <w:rsid w:val="00E85DDC"/>
    <w:rsid w:val="00E92DC7"/>
    <w:rsid w:val="09353E6D"/>
    <w:rsid w:val="0BAD28E2"/>
    <w:rsid w:val="1CA4388D"/>
    <w:rsid w:val="298246DD"/>
    <w:rsid w:val="2E896CD4"/>
    <w:rsid w:val="37D21746"/>
    <w:rsid w:val="38EE58BB"/>
    <w:rsid w:val="3B183024"/>
    <w:rsid w:val="3B325421"/>
    <w:rsid w:val="494055B9"/>
    <w:rsid w:val="4F186F9D"/>
    <w:rsid w:val="50593A6B"/>
    <w:rsid w:val="53E02993"/>
    <w:rsid w:val="5C2E14D8"/>
    <w:rsid w:val="61990DAC"/>
    <w:rsid w:val="7CB51EC9"/>
    <w:rsid w:val="7E5D031B"/>
    <w:rsid w:val="BBFF288E"/>
    <w:rsid w:val="E6E73E63"/>
    <w:rsid w:val="EBB6C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0" w:lineRule="exact"/>
      <w:outlineLvl w:val="0"/>
    </w:pPr>
    <w:rPr>
      <w:rFonts w:eastAsia="黑体"/>
      <w:b/>
      <w:kern w:val="44"/>
      <w:sz w:val="32"/>
    </w:rPr>
  </w:style>
  <w:style w:type="paragraph" w:styleId="3">
    <w:name w:val="heading 2"/>
    <w:basedOn w:val="1"/>
    <w:next w:val="1"/>
    <w:link w:val="22"/>
    <w:semiHidden/>
    <w:unhideWhenUsed/>
    <w:qFormat/>
    <w:uiPriority w:val="0"/>
    <w:pPr>
      <w:spacing w:line="570" w:lineRule="exact"/>
      <w:ind w:firstLine="640" w:firstLineChars="200"/>
      <w:outlineLvl w:val="1"/>
    </w:pPr>
    <w:rPr>
      <w:rFonts w:ascii="楷体_GB2312" w:hAnsi="楷体_GB2312" w:eastAsia="楷体_GB2312" w:cs="楷体_GB2312"/>
      <w:sz w:val="32"/>
      <w:szCs w:val="32"/>
    </w:rPr>
  </w:style>
  <w:style w:type="paragraph" w:styleId="4">
    <w:name w:val="heading 3"/>
    <w:basedOn w:val="5"/>
    <w:next w:val="1"/>
    <w:semiHidden/>
    <w:unhideWhenUsed/>
    <w:qFormat/>
    <w:uiPriority w:val="0"/>
    <w:pPr>
      <w:widowControl/>
      <w:shd w:val="clear" w:color="auto" w:fill="FFFFFF"/>
      <w:spacing w:beforeAutospacing="0" w:afterAutospacing="0" w:line="570" w:lineRule="exact"/>
      <w:jc w:val="both"/>
      <w:outlineLvl w:val="2"/>
    </w:pPr>
    <w:rPr>
      <w:rFonts w:ascii="仿宋_GB2312" w:hAnsi="仿宋_GB2312" w:eastAsia="仿宋_GB2312" w:cs="仿宋_GB2312"/>
      <w:b/>
      <w:bCs/>
      <w:kern w:val="2"/>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Body Text"/>
    <w:basedOn w:val="1"/>
    <w:qFormat/>
    <w:uiPriority w:val="0"/>
    <w:rPr>
      <w:rFonts w:ascii="仿宋" w:hAnsi="仿宋" w:eastAsia="仿宋" w:cs="仿宋"/>
      <w:sz w:val="31"/>
      <w:szCs w:val="31"/>
      <w:lang w:eastAsia="en-US"/>
    </w:rPr>
  </w:style>
  <w:style w:type="paragraph" w:styleId="7">
    <w:name w:val="toc 3"/>
    <w:basedOn w:val="1"/>
    <w:next w:val="1"/>
    <w:autoRedefine/>
    <w:qFormat/>
    <w:uiPriority w:val="39"/>
    <w:pPr>
      <w:ind w:left="840" w:leftChars="400"/>
    </w:pPr>
  </w:style>
  <w:style w:type="paragraph" w:styleId="8">
    <w:name w:val="Date"/>
    <w:basedOn w:val="1"/>
    <w:next w:val="1"/>
    <w:qFormat/>
    <w:uiPriority w:val="0"/>
    <w:pPr>
      <w:adjustRightInd w:val="0"/>
      <w:snapToGrid w:val="0"/>
      <w:spacing w:line="240" w:lineRule="atLeast"/>
    </w:pPr>
    <w:rPr>
      <w:rFonts w:ascii="微软雅黑" w:hAnsi="微软雅黑" w:eastAsia="微软雅黑"/>
      <w:color w:val="FFFFFF" w:themeColor="background1"/>
      <w:sz w:val="32"/>
      <w:szCs w:val="32"/>
      <w14:textFill>
        <w14:solidFill>
          <w14:schemeClr w14:val="bg1"/>
        </w14:solidFill>
      </w14:textFill>
    </w:rPr>
  </w:style>
  <w:style w:type="paragraph" w:styleId="9">
    <w:name w:val="footer"/>
    <w:basedOn w:val="1"/>
    <w:link w:val="24"/>
    <w:qFormat/>
    <w:uiPriority w:val="99"/>
    <w:pPr>
      <w:tabs>
        <w:tab w:val="center" w:pos="4153"/>
        <w:tab w:val="right" w:pos="8306"/>
      </w:tabs>
      <w:snapToGrid w:val="0"/>
      <w:jc w:val="left"/>
    </w:pPr>
    <w:rPr>
      <w:sz w:val="18"/>
    </w:rPr>
  </w:style>
  <w:style w:type="paragraph" w:styleId="10">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1">
    <w:name w:val="Signature"/>
    <w:basedOn w:val="1"/>
    <w:link w:val="25"/>
    <w:qFormat/>
    <w:uiPriority w:val="0"/>
    <w:pPr>
      <w:adjustRightInd w:val="0"/>
      <w:snapToGrid w:val="0"/>
      <w:spacing w:line="240" w:lineRule="atLeast"/>
    </w:pPr>
    <w:rPr>
      <w:rFonts w:ascii="微软雅黑" w:hAnsi="微软雅黑" w:eastAsia="微软雅黑"/>
      <w:sz w:val="32"/>
      <w:szCs w:val="32"/>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table" w:styleId="15">
    <w:name w:val="Table Grid"/>
    <w:basedOn w:val="14"/>
    <w:qFormat/>
    <w:uiPriority w:val="0"/>
    <w:pPr>
      <w:widowControl w:val="0"/>
      <w:jc w:val="both"/>
    </w:pPr>
    <w:rPr>
      <w:rFonts w:cs="Microsoft Himalay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7">
    <w:name w:val="Strong"/>
    <w:basedOn w:val="16"/>
    <w:qFormat/>
    <w:uiPriority w:val="0"/>
    <w:rPr>
      <w:b/>
    </w:rPr>
  </w:style>
  <w:style w:type="character" w:styleId="18">
    <w:name w:val="Emphasis"/>
    <w:basedOn w:val="16"/>
    <w:qFormat/>
    <w:uiPriority w:val="0"/>
    <w:rPr>
      <w:i/>
      <w:iCs/>
    </w:rPr>
  </w:style>
  <w:style w:type="character" w:styleId="19">
    <w:name w:val="Hyperlink"/>
    <w:basedOn w:val="16"/>
    <w:unhideWhenUsed/>
    <w:qFormat/>
    <w:uiPriority w:val="99"/>
    <w:rPr>
      <w:color w:val="0026E5" w:themeColor="hyperlink"/>
      <w:u w:val="single"/>
      <w14:textFill>
        <w14:solidFill>
          <w14:schemeClr w14:val="hlink"/>
        </w14:solidFill>
      </w14:textFill>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2">
    <w:name w:val="标题 2 字符"/>
    <w:link w:val="3"/>
    <w:qFormat/>
    <w:uiPriority w:val="0"/>
    <w:rPr>
      <w:rFonts w:ascii="楷体_GB2312" w:hAnsi="楷体_GB2312" w:eastAsia="楷体_GB2312" w:cs="楷体_GB2312"/>
      <w:sz w:val="32"/>
      <w:szCs w:val="32"/>
      <w:u w:val="none"/>
    </w:rPr>
  </w:style>
  <w:style w:type="character" w:customStyle="1" w:styleId="23">
    <w:name w:val="页眉 字符"/>
    <w:basedOn w:val="16"/>
    <w:link w:val="10"/>
    <w:qFormat/>
    <w:uiPriority w:val="99"/>
    <w:rPr>
      <w:rFonts w:asciiTheme="minorHAnsi" w:hAnsiTheme="minorHAnsi" w:eastAsiaTheme="minorEastAsia" w:cstheme="minorBidi"/>
      <w:sz w:val="18"/>
      <w:szCs w:val="18"/>
    </w:rPr>
  </w:style>
  <w:style w:type="character" w:customStyle="1" w:styleId="24">
    <w:name w:val="页脚 字符"/>
    <w:basedOn w:val="16"/>
    <w:link w:val="9"/>
    <w:qFormat/>
    <w:uiPriority w:val="99"/>
    <w:rPr>
      <w:rFonts w:asciiTheme="minorHAnsi" w:hAnsiTheme="minorHAnsi" w:eastAsiaTheme="minorEastAsia" w:cstheme="minorBidi"/>
      <w:sz w:val="18"/>
    </w:rPr>
  </w:style>
  <w:style w:type="character" w:customStyle="1" w:styleId="25">
    <w:name w:val="签名 字符"/>
    <w:link w:val="11"/>
    <w:qFormat/>
    <w:uiPriority w:val="0"/>
    <w:rPr>
      <w:rFonts w:asciiTheme="minorHAnsi" w:hAnsiTheme="minorHAnsi" w:eastAsiaTheme="minorEastAsia" w:cstheme="minorBidi"/>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附加3</Company>
  <Pages>35</Pages>
  <Words>16052</Words>
  <Characters>16636</Characters>
  <Lines>339</Lines>
  <Paragraphs>95</Paragraphs>
  <TotalTime>0</TotalTime>
  <ScaleCrop>false</ScaleCrop>
  <LinksUpToDate>false</LinksUpToDate>
  <CharactersWithSpaces>16711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2025-03-15T01:37:00Z</dcterms:created>
  <dc:creator>李佳彧</dc:creator>
  <cp:lastModifiedBy>李佳彧</cp:lastModifiedBy>
  <dcterms:modified xsi:type="dcterms:W3CDTF">2025-04-27T11:33:48Z</dcterms:modified>
  <dc:title>评审申报手册</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D1AC2A42F2CC4149884E24762E55172A_13</vt:lpwstr>
  </property>
  <property fmtid="{D5CDD505-2E9C-101B-9397-08002B2CF9AE}" pid="4" name="KSOTemplateDocerSaveRecord">
    <vt:lpwstr>eyJoZGlkIjoiMDljYzUzMWQ4OWI0YzBkYjYzMDRhZTY5ZjZkYmFmYTgiLCJ1c2VySWQiOiIzMjczOTQwOTgifQ==</vt:lpwstr>
  </property>
</Properties>
</file>